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Lines w:val="0"/>
        <w:spacing w:before="0" w:after="0" w:line="360" w:lineRule="auto"/>
        <w:ind w:right="-441" w:rightChars="-210"/>
        <w:jc w:val="center"/>
        <w:rPr>
          <w:rFonts w:ascii="宋体" w:hAnsi="宋体" w:cs="宋体"/>
          <w:color w:val="auto"/>
          <w:kern w:val="2"/>
          <w:sz w:val="32"/>
          <w:szCs w:val="32"/>
          <w:highlight w:val="none"/>
        </w:rPr>
      </w:pPr>
      <w:bookmarkStart w:id="0" w:name="_Toc7940"/>
      <w:bookmarkStart w:id="1" w:name="_Toc19589"/>
      <w:bookmarkStart w:id="2" w:name="_Toc3760"/>
      <w:bookmarkStart w:id="3" w:name="_Toc31448"/>
      <w:bookmarkStart w:id="4" w:name="_Toc123"/>
      <w:bookmarkStart w:id="5" w:name="_Toc334797738"/>
      <w:bookmarkStart w:id="6" w:name="_Toc238282338"/>
      <w:bookmarkStart w:id="7" w:name="_Toc130180737"/>
      <w:bookmarkStart w:id="8" w:name="_Toc130180842"/>
      <w:bookmarkStart w:id="9" w:name="_Toc130180923"/>
      <w:r>
        <w:rPr>
          <w:rFonts w:hint="eastAsia" w:ascii="宋体" w:hAnsi="宋体" w:cs="宋体"/>
          <w:color w:val="auto"/>
          <w:kern w:val="2"/>
          <w:sz w:val="32"/>
          <w:szCs w:val="32"/>
          <w:highlight w:val="none"/>
        </w:rPr>
        <w:t xml:space="preserve"> 采购人需求</w:t>
      </w:r>
      <w:bookmarkEnd w:id="0"/>
      <w:bookmarkEnd w:id="1"/>
      <w:bookmarkEnd w:id="2"/>
      <w:bookmarkEnd w:id="3"/>
      <w:bookmarkEnd w:id="4"/>
      <w:bookmarkEnd w:id="5"/>
    </w:p>
    <w:bookmarkEnd w:id="6"/>
    <w:bookmarkEnd w:id="7"/>
    <w:bookmarkEnd w:id="8"/>
    <w:bookmarkEnd w:id="9"/>
    <w:p>
      <w:pPr>
        <w:spacing w:line="324" w:lineRule="auto"/>
        <w:rPr>
          <w:rFonts w:ascii="宋体" w:hAnsi="宋体" w:cs="Tahoma"/>
          <w:color w:val="auto"/>
          <w:sz w:val="24"/>
          <w:szCs w:val="24"/>
          <w:highlight w:val="none"/>
        </w:rPr>
      </w:pPr>
      <w:bookmarkStart w:id="10" w:name="_Toc185747588"/>
      <w:bookmarkStart w:id="11" w:name="_Toc130697192"/>
      <w:bookmarkStart w:id="12" w:name="_Toc153615297"/>
      <w:bookmarkStart w:id="13" w:name="_Toc130695600"/>
      <w:r>
        <w:rPr>
          <w:rFonts w:hint="eastAsia" w:ascii="宋体" w:hAnsi="宋体" w:cs="Tahoma"/>
          <w:color w:val="auto"/>
          <w:sz w:val="24"/>
          <w:szCs w:val="24"/>
          <w:highlight w:val="none"/>
        </w:rPr>
        <w:t>本项目就以下内容进行国内公开招标：</w:t>
      </w:r>
    </w:p>
    <w:tbl>
      <w:tblPr>
        <w:tblStyle w:val="9"/>
        <w:tblW w:w="9246" w:type="dxa"/>
        <w:jc w:val="center"/>
        <w:tblBorders>
          <w:top w:val="thinThickSmallGap" w:color="auto" w:sz="24" w:space="0"/>
          <w:left w:val="thinThickSmallGap" w:color="auto" w:sz="24" w:space="0"/>
          <w:bottom w:val="thinThickSmallGap" w:color="auto" w:sz="24" w:space="0"/>
          <w:right w:val="thinThickSmallGap" w:color="auto" w:sz="24" w:space="0"/>
          <w:insideH w:val="single" w:color="auto" w:sz="4" w:space="0"/>
          <w:insideV w:val="single" w:color="auto" w:sz="4" w:space="0"/>
        </w:tblBorders>
        <w:tblLayout w:type="fixed"/>
        <w:tblCellMar>
          <w:top w:w="0" w:type="dxa"/>
          <w:left w:w="108" w:type="dxa"/>
          <w:bottom w:w="0" w:type="dxa"/>
          <w:right w:w="108" w:type="dxa"/>
        </w:tblCellMar>
      </w:tblPr>
      <w:tblGrid>
        <w:gridCol w:w="3564"/>
        <w:gridCol w:w="1200"/>
        <w:gridCol w:w="2350"/>
        <w:gridCol w:w="2132"/>
      </w:tblGrid>
      <w:tr>
        <w:tblPrEx>
          <w:tblBorders>
            <w:top w:val="thinThickSmallGap" w:color="auto" w:sz="24" w:space="0"/>
            <w:left w:val="thinThickSmallGap" w:color="auto" w:sz="24" w:space="0"/>
            <w:bottom w:val="thinThickSmallGap" w:color="auto" w:sz="24" w:space="0"/>
            <w:right w:val="thinThickSmallGap" w:color="auto" w:sz="2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564" w:type="dxa"/>
            <w:vAlign w:val="center"/>
          </w:tcPr>
          <w:p>
            <w:pPr>
              <w:spacing w:line="240" w:lineRule="auto"/>
              <w:jc w:val="center"/>
              <w:rPr>
                <w:rFonts w:ascii="宋体" w:hAnsi="宋体" w:cs="宋体"/>
                <w:b/>
                <w:bCs w:val="0"/>
                <w:color w:val="auto"/>
                <w:sz w:val="24"/>
                <w:szCs w:val="24"/>
                <w:highlight w:val="none"/>
              </w:rPr>
            </w:pPr>
            <w:r>
              <w:rPr>
                <w:rFonts w:hint="eastAsia" w:ascii="宋体" w:hAnsi="宋体" w:cs="宋体"/>
                <w:b/>
                <w:bCs w:val="0"/>
                <w:color w:val="auto"/>
                <w:sz w:val="24"/>
                <w:szCs w:val="24"/>
                <w:highlight w:val="none"/>
              </w:rPr>
              <w:t>服务内容</w:t>
            </w:r>
          </w:p>
        </w:tc>
        <w:tc>
          <w:tcPr>
            <w:tcW w:w="1200" w:type="dxa"/>
            <w:vAlign w:val="center"/>
          </w:tcPr>
          <w:p>
            <w:pPr>
              <w:spacing w:line="240" w:lineRule="auto"/>
              <w:jc w:val="center"/>
              <w:rPr>
                <w:rFonts w:hint="eastAsia" w:ascii="宋体" w:hAnsi="宋体" w:cs="宋体"/>
                <w:b/>
                <w:bCs w:val="0"/>
                <w:color w:val="auto"/>
                <w:sz w:val="24"/>
                <w:szCs w:val="24"/>
                <w:highlight w:val="none"/>
              </w:rPr>
            </w:pPr>
            <w:r>
              <w:rPr>
                <w:rFonts w:hint="eastAsia" w:ascii="宋体" w:hAnsi="宋体" w:cs="宋体"/>
                <w:b/>
                <w:bCs w:val="0"/>
                <w:color w:val="auto"/>
                <w:sz w:val="24"/>
                <w:szCs w:val="24"/>
              </w:rPr>
              <w:t>服务范围</w:t>
            </w:r>
          </w:p>
        </w:tc>
        <w:tc>
          <w:tcPr>
            <w:tcW w:w="2350" w:type="dxa"/>
            <w:vAlign w:val="center"/>
          </w:tcPr>
          <w:p>
            <w:pPr>
              <w:spacing w:line="240" w:lineRule="auto"/>
              <w:jc w:val="center"/>
              <w:rPr>
                <w:rFonts w:ascii="宋体" w:hAnsi="宋体" w:cs="宋体"/>
                <w:b/>
                <w:bCs w:val="0"/>
                <w:color w:val="auto"/>
                <w:sz w:val="24"/>
                <w:szCs w:val="24"/>
                <w:highlight w:val="none"/>
              </w:rPr>
            </w:pPr>
            <w:r>
              <w:rPr>
                <w:rFonts w:hint="eastAsia" w:ascii="宋体" w:hAnsi="宋体"/>
                <w:b/>
                <w:bCs w:val="0"/>
                <w:color w:val="auto"/>
                <w:sz w:val="24"/>
                <w:szCs w:val="24"/>
                <w:highlight w:val="none"/>
              </w:rPr>
              <w:t>合同履行期限（服务时间）</w:t>
            </w:r>
          </w:p>
        </w:tc>
        <w:tc>
          <w:tcPr>
            <w:tcW w:w="2132" w:type="dxa"/>
            <w:vAlign w:val="center"/>
          </w:tcPr>
          <w:p>
            <w:pPr>
              <w:spacing w:line="240" w:lineRule="auto"/>
              <w:jc w:val="center"/>
              <w:rPr>
                <w:rFonts w:ascii="宋体" w:hAnsi="宋体" w:cs="宋体"/>
                <w:b/>
                <w:bCs w:val="0"/>
                <w:color w:val="auto"/>
                <w:sz w:val="24"/>
                <w:szCs w:val="24"/>
                <w:highlight w:val="none"/>
              </w:rPr>
            </w:pPr>
            <w:r>
              <w:rPr>
                <w:rFonts w:hint="eastAsia" w:ascii="宋体" w:hAnsi="宋体" w:cs="宋体"/>
                <w:b/>
                <w:bCs w:val="0"/>
                <w:color w:val="auto"/>
                <w:sz w:val="24"/>
                <w:szCs w:val="24"/>
                <w:highlight w:val="none"/>
              </w:rPr>
              <w:t>最高限价</w:t>
            </w:r>
          </w:p>
        </w:tc>
      </w:tr>
      <w:tr>
        <w:tblPrEx>
          <w:tblBorders>
            <w:top w:val="thinThickSmallGap" w:color="auto" w:sz="24" w:space="0"/>
            <w:left w:val="thinThickSmallGap" w:color="auto" w:sz="24" w:space="0"/>
            <w:bottom w:val="thinThickSmallGap" w:color="auto" w:sz="24" w:space="0"/>
            <w:right w:val="thinThickSmallGap" w:color="auto" w:sz="2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3564" w:type="dxa"/>
            <w:vAlign w:val="center"/>
          </w:tcPr>
          <w:p>
            <w:pPr>
              <w:autoSpaceDE w:val="0"/>
              <w:autoSpaceDN w:val="0"/>
              <w:adjustRightInd w:val="0"/>
              <w:spacing w:line="24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黄埔区中心城区2022至2025年河涌维护管理服务项目</w:t>
            </w:r>
          </w:p>
        </w:tc>
        <w:tc>
          <w:tcPr>
            <w:tcW w:w="1200" w:type="dxa"/>
            <w:vAlign w:val="center"/>
          </w:tcPr>
          <w:p>
            <w:pPr>
              <w:autoSpaceDE w:val="0"/>
              <w:autoSpaceDN w:val="0"/>
              <w:adjustRightInd w:val="0"/>
              <w:spacing w:line="240" w:lineRule="auto"/>
              <w:jc w:val="center"/>
              <w:rPr>
                <w:rFonts w:hint="eastAsia" w:ascii="宋体" w:hAnsi="宋体" w:cs="宋体"/>
                <w:color w:val="auto"/>
                <w:sz w:val="24"/>
                <w:szCs w:val="24"/>
                <w:highlight w:val="none"/>
              </w:rPr>
            </w:pPr>
            <w:r>
              <w:rPr>
                <w:rFonts w:hint="eastAsia" w:ascii="宋体" w:hAnsi="宋体" w:cs="宋体"/>
                <w:sz w:val="24"/>
                <w:szCs w:val="24"/>
              </w:rPr>
              <w:t>采购人指定范围</w:t>
            </w:r>
          </w:p>
        </w:tc>
        <w:tc>
          <w:tcPr>
            <w:tcW w:w="2350" w:type="dxa"/>
            <w:vAlign w:val="center"/>
          </w:tcPr>
          <w:p>
            <w:pPr>
              <w:autoSpaceDE w:val="0"/>
              <w:autoSpaceDN w:val="0"/>
              <w:adjustRightInd w:val="0"/>
              <w:spacing w:line="240" w:lineRule="auto"/>
              <w:jc w:val="center"/>
              <w:rPr>
                <w:rFonts w:ascii="宋体" w:hAnsi="宋体" w:cs="宋体"/>
                <w:color w:val="auto"/>
                <w:sz w:val="24"/>
                <w:szCs w:val="24"/>
                <w:highlight w:val="none"/>
              </w:rPr>
            </w:pPr>
            <w:r>
              <w:rPr>
                <w:rFonts w:hint="eastAsia"/>
                <w:color w:val="auto"/>
                <w:sz w:val="24"/>
                <w:highlight w:val="none"/>
              </w:rPr>
              <w:t>合同签订生效之日起三年。</w:t>
            </w:r>
            <w:r>
              <w:rPr>
                <w:rFonts w:hint="eastAsia" w:ascii="宋体" w:hAnsi="宋体" w:eastAsia="宋体" w:cs="宋体"/>
                <w:color w:val="auto"/>
                <w:sz w:val="24"/>
                <w:highlight w:val="none"/>
              </w:rPr>
              <w:t>（各</w:t>
            </w:r>
            <w:r>
              <w:rPr>
                <w:rFonts w:hint="eastAsia" w:ascii="宋体" w:hAnsi="宋体" w:eastAsia="宋体" w:cs="宋体"/>
                <w:color w:val="auto"/>
                <w:sz w:val="24"/>
                <w:szCs w:val="24"/>
                <w:highlight w:val="none"/>
              </w:rPr>
              <w:t>河涌维护管理</w:t>
            </w:r>
            <w:r>
              <w:rPr>
                <w:rFonts w:hint="eastAsia" w:ascii="宋体" w:hAnsi="宋体" w:eastAsia="宋体" w:cs="宋体"/>
                <w:color w:val="auto"/>
                <w:sz w:val="24"/>
                <w:highlight w:val="none"/>
              </w:rPr>
              <w:t>的期限以实际发生时间为准）</w:t>
            </w:r>
          </w:p>
        </w:tc>
        <w:tc>
          <w:tcPr>
            <w:tcW w:w="2132" w:type="dxa"/>
            <w:vAlign w:val="center"/>
          </w:tcPr>
          <w:p>
            <w:pPr>
              <w:autoSpaceDE w:val="0"/>
              <w:autoSpaceDN w:val="0"/>
              <w:adjustRightInd w:val="0"/>
              <w:spacing w:line="24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人民币67333487.71元</w:t>
            </w:r>
          </w:p>
        </w:tc>
      </w:tr>
    </w:tbl>
    <w:p>
      <w:pPr>
        <w:adjustRightInd w:val="0"/>
        <w:snapToGrid w:val="0"/>
        <w:spacing w:line="360" w:lineRule="auto"/>
        <w:ind w:left="0" w:firstLine="482" w:firstLineChars="200"/>
        <w:rPr>
          <w:rFonts w:hint="eastAsia" w:ascii="宋体" w:hAnsi="宋体" w:cs="宋体"/>
          <w:b/>
          <w:color w:val="000000"/>
          <w:sz w:val="24"/>
        </w:rPr>
      </w:pPr>
      <w:r>
        <w:rPr>
          <w:rFonts w:hint="eastAsia" w:ascii="宋体" w:hAnsi="宋体" w:cs="宋体"/>
          <w:b/>
          <w:color w:val="000000"/>
          <w:sz w:val="24"/>
        </w:rPr>
        <w:t>一、服务范围、内容及要求</w:t>
      </w:r>
    </w:p>
    <w:p>
      <w:pPr>
        <w:tabs>
          <w:tab w:val="left" w:pos="1900"/>
        </w:tabs>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（一）任何与采购人需求的偏差都必须列入《与采购人需求差异表》中。</w:t>
      </w:r>
    </w:p>
    <w:p>
      <w:pPr>
        <w:tabs>
          <w:tab w:val="left" w:pos="1900"/>
        </w:tabs>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（二）投标人应仔细研究阅读招标文件的所有内容，如发现文件有缺漏或不一致或有不同的理解时，应及时提请采购人补充和澄清，否则按采购人的实际要求和理解执行。</w:t>
      </w:r>
    </w:p>
    <w:p>
      <w:pPr>
        <w:tabs>
          <w:tab w:val="left" w:pos="1900"/>
        </w:tabs>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本项目采购人需求提出的是最低限度的要求，并未对一切细节作出规定，也未充分引述全部有关标准和规范的条文，投标人提供的所有服务都应符合招标时已颁布的现行中国国家或国家认可的（部颁、行业）标准和国内外标准化组织以及等效或更优的其他国家的权威性标准和规范的有关条文。如果这些标准内容有矛盾时，应按最高标准的条款执行。</w:t>
      </w:r>
    </w:p>
    <w:p>
      <w:pPr>
        <w:adjustRightInd w:val="0"/>
        <w:snapToGrid w:val="0"/>
        <w:spacing w:line="360" w:lineRule="auto"/>
        <w:ind w:left="0"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val="en-US" w:eastAsia="zh-CN"/>
        </w:rPr>
        <w:t>二</w:t>
      </w:r>
      <w:r>
        <w:rPr>
          <w:rFonts w:hint="eastAsia" w:ascii="宋体" w:hAnsi="宋体" w:cs="宋体"/>
          <w:b/>
          <w:color w:val="auto"/>
          <w:sz w:val="24"/>
          <w:highlight w:val="none"/>
        </w:rPr>
        <w:t>、商务要求</w:t>
      </w:r>
    </w:p>
    <w:p>
      <w:pPr>
        <w:spacing w:line="360" w:lineRule="auto"/>
        <w:ind w:firstLine="482" w:firstLineChars="200"/>
        <w:rPr>
          <w:rFonts w:hint="eastAsia" w:ascii="宋体" w:hAnsi="宋体" w:cs="宋体"/>
          <w:color w:val="000000"/>
          <w:sz w:val="24"/>
          <w:szCs w:val="24"/>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一</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rPr>
        <w:t>服务时间：</w:t>
      </w:r>
      <w:r>
        <w:rPr>
          <w:rFonts w:hint="eastAsia" w:ascii="宋体" w:hAnsi="宋体" w:cs="宋体"/>
          <w:color w:val="000000"/>
          <w:sz w:val="24"/>
          <w:szCs w:val="24"/>
        </w:rPr>
        <w:t>合同签订生效之日起三年</w:t>
      </w:r>
      <w:r>
        <w:rPr>
          <w:rFonts w:hint="eastAsia" w:ascii="宋体" w:hAnsi="宋体" w:eastAsia="宋体" w:cs="宋体"/>
          <w:color w:val="auto"/>
          <w:sz w:val="24"/>
          <w:highlight w:val="none"/>
        </w:rPr>
        <w:t>（各</w:t>
      </w:r>
      <w:r>
        <w:rPr>
          <w:rFonts w:hint="eastAsia" w:ascii="宋体" w:hAnsi="宋体" w:eastAsia="宋体" w:cs="宋体"/>
          <w:color w:val="auto"/>
          <w:sz w:val="24"/>
          <w:szCs w:val="24"/>
          <w:highlight w:val="none"/>
        </w:rPr>
        <w:t>河涌维护管理</w:t>
      </w:r>
      <w:r>
        <w:rPr>
          <w:rFonts w:hint="eastAsia" w:ascii="宋体" w:hAnsi="宋体" w:eastAsia="宋体" w:cs="宋体"/>
          <w:color w:val="auto"/>
          <w:sz w:val="24"/>
          <w:highlight w:val="none"/>
        </w:rPr>
        <w:t>的期限以实际发生时间为准）</w:t>
      </w:r>
      <w:r>
        <w:rPr>
          <w:rFonts w:hint="eastAsia" w:ascii="宋体" w:hAnsi="宋体" w:cs="宋体"/>
          <w:color w:val="000000"/>
          <w:sz w:val="24"/>
          <w:szCs w:val="24"/>
        </w:rPr>
        <w:t>。</w:t>
      </w:r>
    </w:p>
    <w:p>
      <w:pPr>
        <w:spacing w:line="360" w:lineRule="auto"/>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二</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rPr>
        <w:t>进场时间：接到采购人通知后5个工作日内。</w:t>
      </w:r>
    </w:p>
    <w:p>
      <w:pPr>
        <w:tabs>
          <w:tab w:val="left" w:pos="1134"/>
        </w:tabs>
        <w:spacing w:line="360" w:lineRule="auto"/>
        <w:ind w:firstLine="482" w:firstLineChars="200"/>
        <w:rPr>
          <w:rFonts w:hint="eastAsia" w:ascii="宋体" w:hAnsi="宋体" w:cs="宋体"/>
          <w:color w:val="auto"/>
          <w:sz w:val="24"/>
          <w:highlight w:val="none"/>
        </w:rPr>
      </w:pP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三</w:t>
      </w:r>
      <w:r>
        <w:rPr>
          <w:rFonts w:hint="eastAsia" w:ascii="宋体" w:hAnsi="宋体" w:cs="宋体"/>
          <w:b/>
          <w:color w:val="auto"/>
          <w:sz w:val="24"/>
          <w:highlight w:val="none"/>
          <w:lang w:eastAsia="zh-CN"/>
        </w:rPr>
        <w:t>）</w:t>
      </w:r>
      <w:r>
        <w:rPr>
          <w:rFonts w:hint="eastAsia" w:ascii="宋体" w:hAnsi="宋体" w:cs="宋体"/>
          <w:b/>
          <w:color w:val="auto"/>
          <w:sz w:val="24"/>
          <w:highlight w:val="none"/>
        </w:rPr>
        <w:t>付款方式</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服务费按季度周期支付、按实结算。</w:t>
      </w:r>
    </w:p>
    <w:p>
      <w:pPr>
        <w:widowControl/>
        <w:tabs>
          <w:tab w:val="left" w:pos="840"/>
        </w:tabs>
        <w:spacing w:line="360" w:lineRule="auto"/>
        <w:ind w:left="0"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服务费用根据季度周期的实际情况、当季度周期的日常监督检查扣款情况和季度考核结果，按季度周期分期支付。</w:t>
      </w:r>
    </w:p>
    <w:p>
      <w:pPr>
        <w:widowControl/>
        <w:tabs>
          <w:tab w:val="left" w:pos="840"/>
        </w:tabs>
        <w:spacing w:line="360" w:lineRule="auto"/>
        <w:ind w:left="0"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须向采购人提交等额有效的国家完税服务类发票和相关请款资料，采购人收到齐备请款资料后15个工作日内，完成请款审批流程并提交资料至区财政国库集中支付中心，完成提交手续后可视为完成支付工作。</w:t>
      </w:r>
    </w:p>
    <w:p>
      <w:pPr>
        <w:widowControl/>
        <w:tabs>
          <w:tab w:val="left" w:pos="840"/>
        </w:tabs>
        <w:spacing w:line="360" w:lineRule="auto"/>
        <w:ind w:left="0"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最后一期服务费用待中标</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完成工作移交后方可办理支付。</w:t>
      </w:r>
    </w:p>
    <w:p>
      <w:pPr>
        <w:spacing w:line="360" w:lineRule="auto"/>
        <w:ind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五</w:t>
      </w:r>
      <w:r>
        <w:rPr>
          <w:rFonts w:hint="eastAsia" w:ascii="宋体" w:hAnsi="宋体" w:cs="宋体"/>
          <w:b/>
          <w:color w:val="auto"/>
          <w:sz w:val="24"/>
          <w:highlight w:val="none"/>
          <w:lang w:eastAsia="zh-CN"/>
        </w:rPr>
        <w:t>）</w:t>
      </w:r>
      <w:r>
        <w:rPr>
          <w:rFonts w:hint="eastAsia" w:ascii="宋体" w:hAnsi="宋体" w:cs="宋体"/>
          <w:b/>
          <w:color w:val="auto"/>
          <w:sz w:val="24"/>
          <w:highlight w:val="none"/>
        </w:rPr>
        <w:t>采购人有权在签订合同时对项目方案作适当修改。</w:t>
      </w:r>
    </w:p>
    <w:p>
      <w:pPr>
        <w:spacing w:line="360" w:lineRule="auto"/>
        <w:ind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六</w:t>
      </w:r>
      <w:r>
        <w:rPr>
          <w:rFonts w:hint="eastAsia" w:ascii="宋体" w:hAnsi="宋体" w:cs="宋体"/>
          <w:b/>
          <w:color w:val="auto"/>
          <w:sz w:val="24"/>
          <w:highlight w:val="none"/>
          <w:lang w:eastAsia="zh-CN"/>
        </w:rPr>
        <w:t>）</w:t>
      </w:r>
      <w:r>
        <w:rPr>
          <w:rFonts w:hint="eastAsia" w:ascii="宋体" w:hAnsi="宋体" w:cs="宋体"/>
          <w:b/>
          <w:color w:val="auto"/>
          <w:sz w:val="24"/>
          <w:highlight w:val="none"/>
        </w:rPr>
        <w:t>履约保证金：</w:t>
      </w:r>
    </w:p>
    <w:bookmarkEnd w:id="10"/>
    <w:bookmarkEnd w:id="11"/>
    <w:bookmarkEnd w:id="12"/>
    <w:bookmarkEnd w:id="13"/>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 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应在合同签订后30个工作日内，向采购人支付履约保证金，履约保证金额为合同总价的3%。合同期满后中标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没有违约行为，履约保证金在合同期满后30个工作日内退回。</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2.履约保证金用于补偿采购人因中标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不能完成其合同义务而蒙受的损失。凡因中标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责任，使采购人解除本合同的，履约保证金不向中标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退还。</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rPr>
        <w:t>3.履约保证金以采购人认可的方式提交</w:t>
      </w:r>
      <w:r>
        <w:rPr>
          <w:rFonts w:hint="eastAsia" w:ascii="宋体" w:hAnsi="宋体" w:cs="宋体"/>
          <w:color w:val="auto"/>
          <w:sz w:val="24"/>
          <w:highlight w:val="none"/>
          <w:lang w:eastAsia="zh-CN"/>
        </w:rPr>
        <w:t>。</w:t>
      </w:r>
    </w:p>
    <w:p>
      <w:pPr>
        <w:adjustRightInd w:val="0"/>
        <w:snapToGrid w:val="0"/>
        <w:spacing w:line="360" w:lineRule="auto"/>
        <w:ind w:left="0" w:firstLine="482" w:firstLineChars="20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三</w:t>
      </w:r>
      <w:r>
        <w:rPr>
          <w:rFonts w:hint="eastAsia" w:ascii="宋体" w:hAnsi="宋体" w:cs="宋体"/>
          <w:b/>
          <w:color w:val="auto"/>
          <w:sz w:val="24"/>
          <w:highlight w:val="none"/>
        </w:rPr>
        <w:t>、项目</w:t>
      </w:r>
      <w:r>
        <w:rPr>
          <w:rFonts w:hint="eastAsia" w:ascii="宋体" w:hAnsi="宋体" w:cs="宋体"/>
          <w:b/>
          <w:color w:val="auto"/>
          <w:sz w:val="24"/>
          <w:highlight w:val="none"/>
          <w:lang w:val="en-US" w:eastAsia="zh-CN"/>
        </w:rPr>
        <w:t>概况</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黄埔区中心城区河涌包括珠江涌、深涌、珠江、本田排水渠、下沙涌、文涌、文涌支涌、双岗涌、庙头涌、南湾涌、西滘河、米塔涌、沙步涌、沙涌、金紫涌、宏岗河、鹤子坦涌、墩头涌、东滘涌、四清河、笔岗涌、细陂河、埔安河、天窿河、永和河、水声涌、沙田涌、塘尾涌、永和河、乌涌、乌涌左支涌、南岗河。</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乌涌、乌涌左支流、南岗河是黄埔区中心城区的重要河涌，具体情况如下：</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1.乌涌，全长22.66km，发源于黄埔区水口水库，流经广州科学城、黄埔老城区至黄埔港汇入珠江前航道，集水面积58.4km2。</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2.乌涌左支涌，全长7.61km,在广园快速路北侧汇入乌涌主干流，集水面积12.3km2。</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3.南岗河，全长24.12km，发源于萝岗街道鹅山，流经木强水库，由北向南流汇入东江北干流，集水面积136.4km2。</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sz w:val="24"/>
          <w:lang w:val="en-US" w:eastAsia="zh-CN"/>
        </w:rPr>
        <w:t>为做好黄埔区中心城区河涌绿化养护、环境保洁、安保管理等工作，充分发挥工程效益和社会效益，需实施黄埔区中心城区2022至2025年河涌维护管理服务项目，对河涌进行维护管理。</w:t>
      </w:r>
    </w:p>
    <w:p>
      <w:pPr>
        <w:adjustRightInd w:val="0"/>
        <w:snapToGrid w:val="0"/>
        <w:spacing w:line="360" w:lineRule="auto"/>
        <w:ind w:left="0"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val="en-US" w:eastAsia="zh-CN"/>
        </w:rPr>
        <w:t>四</w:t>
      </w:r>
      <w:r>
        <w:rPr>
          <w:rFonts w:hint="eastAsia" w:ascii="宋体" w:hAnsi="宋体" w:cs="宋体"/>
          <w:b/>
          <w:color w:val="auto"/>
          <w:sz w:val="24"/>
          <w:highlight w:val="none"/>
        </w:rPr>
        <w:t>、项目管理要求</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黄埔区中心城区河涌绿化养护、环境保洁、安保管理等方面的要求具体如下：</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（一）绿化养护。</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河涌堤岸绿化养护根据《广东省城市绿地养护质量标准》（DB44/T269-2005) 的要求，全部河涌范围绿化实行二级以上养护标准，其中部分重要景观节点实行一级养护标准；</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（二）环境保洁。</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根据《城市环境卫生质量标准》（建设部建城［1997］21 号）的要求，河涌范围内人行道、硬地保洁按道路三级标准执行；按照《广州市黄埔区公共厕所硬件配套和保洁质量整治督导工作方案》（简称“厕所革命”）的要求，公厕保洁执行“十净、十无、四有、三无、两通、一明”标准；</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（三）安保管理。文教园区安保工作实行24小三班倒值班制，维持园区管理秩序及置现场应急突发事件</w:t>
      </w:r>
      <w:r>
        <w:rPr>
          <w:rFonts w:hint="eastAsia" w:ascii="宋体" w:hAnsi="宋体" w:cs="宋体"/>
          <w:color w:val="auto"/>
          <w:sz w:val="24"/>
          <w:highlight w:val="none"/>
          <w:lang w:eastAsia="zh-CN"/>
        </w:rPr>
        <w:t>。</w:t>
      </w:r>
    </w:p>
    <w:p>
      <w:pPr>
        <w:adjustRightInd w:val="0"/>
        <w:snapToGrid w:val="0"/>
        <w:spacing w:line="360" w:lineRule="auto"/>
        <w:ind w:left="0"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val="en-US" w:eastAsia="zh-CN"/>
        </w:rPr>
        <w:t>五</w:t>
      </w:r>
      <w:r>
        <w:rPr>
          <w:rFonts w:hint="eastAsia" w:ascii="宋体" w:hAnsi="宋体" w:cs="宋体"/>
          <w:b/>
          <w:color w:val="auto"/>
          <w:sz w:val="24"/>
          <w:highlight w:val="none"/>
        </w:rPr>
        <w:t>、项目内容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一</w:t>
      </w:r>
      <w:r>
        <w:rPr>
          <w:rFonts w:hint="eastAsia" w:ascii="宋体" w:hAnsi="宋体" w:cs="宋体"/>
          <w:color w:val="auto"/>
          <w:sz w:val="24"/>
          <w:highlight w:val="none"/>
          <w:lang w:eastAsia="zh-CN"/>
        </w:rPr>
        <w:t>）</w:t>
      </w:r>
      <w:r>
        <w:rPr>
          <w:rFonts w:ascii="宋体" w:hAnsi="宋体" w:cs="宋体"/>
          <w:color w:val="auto"/>
          <w:sz w:val="24"/>
          <w:highlight w:val="none"/>
        </w:rPr>
        <w:t>绿化养护</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（1）主要内容为：河涌堤岸绿化养护，绿化面积约264万㎡，参与绿化养护工作的人数不少于264人/天。</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（2）各河段节点具体要求为：乌涌（联华路段）、乌涌左支流（加庄北至广园路段）、南岗河（文教园段）、庙头涌（南海神庙段）根据《广东省城市绿地养护质量标准》（DB44/T269-2005) 的要求，实行一级养护标准；其余河段根据《广东省城市绿地养护质量标准》（DB44/T269-2005) 的要求，实行二级养护标准。</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（二）环境保洁。</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主要内容为：人行道及硬地保洁、卫生间保洁等，具体如下：</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1.人行道、硬地保洁：面积约39.6万㎡；</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2.公共卫生间保洁：公共卫生间2座，配备2名专职保洁人员实时保洁；公共厕所“七小件”主要包括厕纸、洗手液、挂物钩、搁物架、侧位扶手、烘手机和面镜；化粪池2座，体积为2m³/座，每半年清运一次。</w:t>
      </w:r>
    </w:p>
    <w:p>
      <w:pPr>
        <w:spacing w:line="360" w:lineRule="auto"/>
        <w:ind w:firstLine="480" w:firstLineChars="200"/>
        <w:jc w:val="left"/>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（三）安保管理。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主要内容为：维持园区管理秩序及置现场应急突发事件（如：制止破坏设施、劝离戏水或垂钓人员、设施损坏后及时采取临时措施等），共设置安保人员3名</w:t>
      </w:r>
      <w:r>
        <w:rPr>
          <w:rFonts w:hint="eastAsia" w:ascii="宋体" w:hAnsi="宋体" w:cs="宋体"/>
          <w:color w:val="auto"/>
          <w:kern w:val="0"/>
          <w:sz w:val="24"/>
          <w:szCs w:val="24"/>
          <w:highlight w:val="none"/>
        </w:rPr>
        <w:t>。</w:t>
      </w:r>
    </w:p>
    <w:p>
      <w:pPr>
        <w:widowControl/>
        <w:adjustRightInd w:val="0"/>
        <w:snapToGrid w:val="0"/>
        <w:spacing w:line="360" w:lineRule="auto"/>
        <w:ind w:left="0"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val="en-US" w:eastAsia="zh-CN"/>
        </w:rPr>
        <w:t>六</w:t>
      </w:r>
      <w:r>
        <w:rPr>
          <w:rFonts w:hint="eastAsia" w:ascii="宋体" w:hAnsi="宋体" w:cs="宋体"/>
          <w:b/>
          <w:color w:val="auto"/>
          <w:sz w:val="24"/>
          <w:highlight w:val="none"/>
        </w:rPr>
        <w:t>、服务要求</w:t>
      </w:r>
    </w:p>
    <w:p>
      <w:pPr>
        <w:spacing w:line="360" w:lineRule="auto"/>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（一）总体要求</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highlight w:val="none"/>
        </w:rPr>
        <w:t>黄埔区中心城区河涌</w:t>
      </w:r>
      <w:r>
        <w:rPr>
          <w:rFonts w:hint="eastAsia" w:ascii="宋体" w:hAnsi="宋体" w:cs="宋体"/>
          <w:color w:val="auto"/>
          <w:sz w:val="24"/>
          <w:szCs w:val="24"/>
          <w:highlight w:val="none"/>
        </w:rPr>
        <w:t>地理位置和防洪作用显著，维护管理服务要求全方位、高标准、高质量</w:t>
      </w:r>
      <w:r>
        <w:rPr>
          <w:rFonts w:hint="eastAsia" w:ascii="宋体" w:hAnsi="宋体" w:cs="宋体"/>
          <w:color w:val="auto"/>
          <w:sz w:val="24"/>
          <w:szCs w:val="24"/>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FF0000"/>
          <w:sz w:val="24"/>
          <w:szCs w:val="24"/>
        </w:rPr>
      </w:pPr>
      <w:r>
        <w:rPr>
          <w:rFonts w:hint="eastAsia" w:ascii="宋体" w:hAnsi="宋体" w:cs="宋体"/>
          <w:color w:val="auto"/>
          <w:sz w:val="24"/>
          <w:szCs w:val="24"/>
        </w:rPr>
        <w:t>2.</w:t>
      </w:r>
      <w:r>
        <w:rPr>
          <w:rFonts w:hint="eastAsia" w:ascii="宋体" w:hAnsi="宋体" w:cs="宋体"/>
          <w:color w:val="auto"/>
          <w:kern w:val="0"/>
          <w:sz w:val="24"/>
          <w:szCs w:val="24"/>
          <w:highlight w:val="none"/>
          <w:lang w:bidi="ar"/>
        </w:rPr>
        <w:t>本项目配备的人员要求为：项目负责人1人，专业工程师</w:t>
      </w:r>
      <w:r>
        <w:rPr>
          <w:rFonts w:hint="eastAsia" w:ascii="宋体" w:hAnsi="宋体" w:cs="宋体"/>
          <w:color w:val="auto"/>
          <w:kern w:val="0"/>
          <w:sz w:val="24"/>
          <w:szCs w:val="24"/>
          <w:highlight w:val="none"/>
          <w:lang w:val="en-US" w:eastAsia="zh-CN" w:bidi="ar"/>
        </w:rPr>
        <w:t>6</w:t>
      </w:r>
      <w:r>
        <w:rPr>
          <w:rFonts w:hint="eastAsia" w:ascii="宋体" w:hAnsi="宋体" w:cs="宋体"/>
          <w:color w:val="auto"/>
          <w:kern w:val="0"/>
          <w:sz w:val="24"/>
          <w:szCs w:val="24"/>
          <w:highlight w:val="none"/>
          <w:lang w:bidi="ar"/>
        </w:rPr>
        <w:t>人</w:t>
      </w:r>
      <w:r>
        <w:rPr>
          <w:rFonts w:hint="eastAsia" w:ascii="宋体" w:hAnsi="宋体" w:cs="宋体"/>
          <w:color w:val="auto"/>
          <w:kern w:val="0"/>
          <w:sz w:val="24"/>
          <w:szCs w:val="24"/>
          <w:highlight w:val="none"/>
          <w:lang w:eastAsia="zh-CN" w:bidi="ar"/>
        </w:rPr>
        <w:t>，</w:t>
      </w:r>
      <w:r>
        <w:rPr>
          <w:rFonts w:hint="eastAsia" w:ascii="宋体" w:hAnsi="宋体" w:cs="宋体"/>
          <w:color w:val="auto"/>
          <w:kern w:val="0"/>
          <w:sz w:val="24"/>
          <w:szCs w:val="24"/>
          <w:highlight w:val="none"/>
          <w:lang w:val="en-US" w:eastAsia="zh-CN" w:bidi="ar"/>
        </w:rPr>
        <w:t>资料员1人</w:t>
      </w:r>
      <w:r>
        <w:rPr>
          <w:rFonts w:hint="eastAsia" w:ascii="宋体" w:hAnsi="宋体" w:cs="宋体"/>
          <w:color w:val="auto"/>
          <w:kern w:val="0"/>
          <w:sz w:val="24"/>
          <w:szCs w:val="24"/>
          <w:highlight w:val="none"/>
          <w:lang w:bidi="ar"/>
        </w:rPr>
        <w:t>。</w:t>
      </w:r>
      <w:r>
        <w:rPr>
          <w:rFonts w:hint="eastAsia" w:ascii="宋体" w:hAnsi="宋体" w:cs="宋体"/>
          <w:color w:val="auto"/>
          <w:sz w:val="24"/>
          <w:szCs w:val="24"/>
          <w:highlight w:val="none"/>
        </w:rPr>
        <w:t>中标人对所属聘用人员必须按《劳动法》办理各种用工手续，</w:t>
      </w:r>
      <w:r>
        <w:rPr>
          <w:rFonts w:hint="eastAsia" w:ascii="宋体" w:hAnsi="宋体" w:cs="宋体"/>
          <w:color w:val="auto"/>
          <w:kern w:val="0"/>
          <w:sz w:val="24"/>
          <w:szCs w:val="24"/>
          <w:highlight w:val="none"/>
          <w:lang w:bidi="ar"/>
        </w:rPr>
        <w:t>需按国家有关规定为派驻本项目的人员购买社会保险，并报采购人备案</w:t>
      </w:r>
      <w:r>
        <w:rPr>
          <w:rFonts w:hint="eastAsia" w:ascii="宋体" w:hAnsi="宋体" w:cs="宋体"/>
          <w:color w:val="auto"/>
          <w:sz w:val="24"/>
          <w:szCs w:val="24"/>
          <w:highlight w:val="none"/>
        </w:rPr>
        <w:t>。中标人负责建立各项规章制度，确定组织架构人员录用等</w:t>
      </w:r>
      <w:r>
        <w:rPr>
          <w:rFonts w:hint="eastAsia" w:ascii="宋体" w:hAnsi="宋体" w:cs="宋体"/>
          <w:color w:val="auto"/>
          <w:sz w:val="24"/>
          <w:szCs w:val="24"/>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3.中标</w:t>
      </w:r>
      <w:r>
        <w:rPr>
          <w:rFonts w:hint="eastAsia" w:ascii="宋体" w:hAnsi="宋体" w:cs="宋体"/>
          <w:color w:val="auto"/>
          <w:sz w:val="24"/>
          <w:szCs w:val="24"/>
          <w:lang w:val="en-US" w:eastAsia="zh-CN"/>
        </w:rPr>
        <w:t>人</w:t>
      </w:r>
      <w:r>
        <w:rPr>
          <w:rFonts w:hint="eastAsia" w:ascii="宋体" w:hAnsi="宋体" w:cs="宋体"/>
          <w:color w:val="auto"/>
          <w:sz w:val="24"/>
          <w:szCs w:val="24"/>
        </w:rPr>
        <w:t>对所录用人员要严格审查，并持有相关上岗资格证。中标</w:t>
      </w:r>
      <w:r>
        <w:rPr>
          <w:rFonts w:hint="eastAsia" w:ascii="宋体" w:hAnsi="宋体" w:cs="宋体"/>
          <w:color w:val="auto"/>
          <w:sz w:val="24"/>
          <w:szCs w:val="24"/>
          <w:lang w:val="en-US" w:eastAsia="zh-CN"/>
        </w:rPr>
        <w:t>人</w:t>
      </w:r>
      <w:r>
        <w:rPr>
          <w:rFonts w:hint="eastAsia" w:ascii="宋体" w:hAnsi="宋体" w:cs="宋体"/>
          <w:color w:val="auto"/>
          <w:sz w:val="24"/>
          <w:szCs w:val="24"/>
        </w:rPr>
        <w:t>要依法纳税，按规定为录用人员缴纳社保。</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4.中标</w:t>
      </w:r>
      <w:r>
        <w:rPr>
          <w:rFonts w:hint="eastAsia" w:ascii="宋体" w:hAnsi="宋体" w:cs="宋体"/>
          <w:color w:val="auto"/>
          <w:sz w:val="24"/>
          <w:szCs w:val="24"/>
          <w:lang w:eastAsia="zh-CN"/>
        </w:rPr>
        <w:t>人</w:t>
      </w:r>
      <w:r>
        <w:rPr>
          <w:rFonts w:hint="eastAsia" w:ascii="宋体" w:hAnsi="宋体" w:cs="宋体"/>
          <w:color w:val="auto"/>
          <w:sz w:val="24"/>
          <w:szCs w:val="24"/>
        </w:rPr>
        <w:t>的各类管理、服务人员按岗位着装要求统一，言行规范，要注意仪容仪表、公众形象，一些公众岗位录用人员体形、身高要有规定。</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5.中标</w:t>
      </w:r>
      <w:r>
        <w:rPr>
          <w:rFonts w:hint="eastAsia" w:ascii="宋体" w:hAnsi="宋体" w:cs="宋体"/>
          <w:color w:val="auto"/>
          <w:sz w:val="24"/>
          <w:szCs w:val="24"/>
          <w:lang w:val="en-US" w:eastAsia="zh-CN"/>
        </w:rPr>
        <w:t>人</w:t>
      </w:r>
      <w:r>
        <w:rPr>
          <w:rFonts w:hint="eastAsia" w:ascii="宋体" w:hAnsi="宋体" w:cs="宋体"/>
          <w:color w:val="auto"/>
          <w:sz w:val="24"/>
          <w:szCs w:val="24"/>
        </w:rPr>
        <w:t>在做好工作的同时，有责任向采购人提供合理化建议，以提高管理效率和管理质量。</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6.中标</w:t>
      </w:r>
      <w:r>
        <w:rPr>
          <w:rFonts w:hint="eastAsia" w:ascii="宋体" w:hAnsi="宋体" w:cs="宋体"/>
          <w:color w:val="auto"/>
          <w:sz w:val="24"/>
          <w:szCs w:val="24"/>
          <w:lang w:val="en-US" w:eastAsia="zh-CN"/>
        </w:rPr>
        <w:t>人</w:t>
      </w:r>
      <w:r>
        <w:rPr>
          <w:rFonts w:hint="eastAsia" w:ascii="宋体" w:hAnsi="宋体" w:cs="宋体"/>
          <w:color w:val="auto"/>
          <w:sz w:val="24"/>
          <w:szCs w:val="24"/>
        </w:rPr>
        <w:t>具备利用自身资源满足可临时应急抽调不少于</w:t>
      </w:r>
      <w:r>
        <w:rPr>
          <w:rFonts w:hint="eastAsia" w:ascii="宋体" w:hAnsi="宋体" w:cs="宋体"/>
          <w:color w:val="auto"/>
          <w:sz w:val="24"/>
          <w:szCs w:val="24"/>
          <w:lang w:val="en-US" w:eastAsia="zh-CN"/>
        </w:rPr>
        <w:t>120</w:t>
      </w:r>
      <w:r>
        <w:rPr>
          <w:rFonts w:hint="eastAsia" w:ascii="宋体" w:hAnsi="宋体" w:cs="宋体"/>
          <w:color w:val="auto"/>
          <w:sz w:val="24"/>
          <w:szCs w:val="24"/>
        </w:rPr>
        <w:t>人（含秩序维护、水电技工、清洁保洁、绿化养护等各工种）的应急队伍。</w:t>
      </w:r>
    </w:p>
    <w:p>
      <w:pPr>
        <w:adjustRightInd w:val="0"/>
        <w:snapToGrid w:val="0"/>
        <w:spacing w:line="360" w:lineRule="auto"/>
        <w:ind w:firstLine="480" w:firstLineChars="200"/>
        <w:rPr>
          <w:rFonts w:hint="eastAsia" w:ascii="宋体" w:hAnsi="宋体" w:cs="宋体"/>
          <w:color w:val="auto"/>
          <w:kern w:val="0"/>
          <w:sz w:val="24"/>
          <w:szCs w:val="24"/>
          <w:highlight w:val="none"/>
          <w:lang w:bidi="ar"/>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本项目的文教园区</w:t>
      </w:r>
      <w:r>
        <w:rPr>
          <w:rFonts w:hint="eastAsia" w:ascii="宋体" w:hAnsi="宋体" w:cs="宋体"/>
          <w:color w:val="auto"/>
          <w:sz w:val="24"/>
          <w:szCs w:val="24"/>
          <w:highlight w:val="none"/>
          <w:lang w:eastAsia="zh-CN"/>
        </w:rPr>
        <w:t>为</w:t>
      </w:r>
      <w:r>
        <w:rPr>
          <w:rFonts w:hint="eastAsia" w:ascii="宋体" w:hAnsi="宋体" w:cs="宋体"/>
          <w:color w:val="auto"/>
          <w:sz w:val="24"/>
          <w:szCs w:val="24"/>
          <w:highlight w:val="none"/>
          <w:lang w:val="en-US" w:eastAsia="zh-CN"/>
        </w:rPr>
        <w:t>开放式</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中标</w:t>
      </w:r>
      <w:r>
        <w:rPr>
          <w:rFonts w:hint="eastAsia" w:ascii="宋体" w:hAnsi="宋体" w:cs="宋体"/>
          <w:color w:val="auto"/>
          <w:sz w:val="24"/>
          <w:szCs w:val="24"/>
          <w:highlight w:val="none"/>
          <w:lang w:val="en-US" w:eastAsia="zh-CN"/>
        </w:rPr>
        <w:t>人</w:t>
      </w:r>
      <w:r>
        <w:rPr>
          <w:rFonts w:hint="eastAsia" w:ascii="宋体" w:hAnsi="宋体" w:cs="宋体"/>
          <w:color w:val="auto"/>
          <w:sz w:val="24"/>
          <w:szCs w:val="24"/>
          <w:highlight w:val="none"/>
        </w:rPr>
        <w:t>必须</w:t>
      </w:r>
      <w:r>
        <w:rPr>
          <w:rFonts w:hint="eastAsia" w:ascii="宋体" w:hAnsi="宋体" w:cs="宋体"/>
          <w:color w:val="auto"/>
          <w:sz w:val="24"/>
          <w:szCs w:val="24"/>
          <w:highlight w:val="none"/>
          <w:lang w:eastAsia="zh-CN"/>
        </w:rPr>
        <w:t>全天</w:t>
      </w:r>
      <w:r>
        <w:rPr>
          <w:rFonts w:hint="eastAsia" w:ascii="宋体" w:hAnsi="宋体" w:cs="宋体"/>
          <w:color w:val="auto"/>
          <w:sz w:val="24"/>
          <w:szCs w:val="24"/>
          <w:highlight w:val="none"/>
          <w:lang w:val="en-US" w:eastAsia="zh-CN"/>
        </w:rPr>
        <w:t>24小时</w:t>
      </w:r>
      <w:r>
        <w:rPr>
          <w:rFonts w:hint="eastAsia" w:ascii="宋体" w:hAnsi="宋体" w:cs="宋体"/>
          <w:color w:val="auto"/>
          <w:sz w:val="24"/>
          <w:szCs w:val="24"/>
          <w:highlight w:val="none"/>
        </w:rPr>
        <w:t>安排人员值班；碰到紧急情况，中标</w:t>
      </w:r>
      <w:r>
        <w:rPr>
          <w:rFonts w:hint="eastAsia" w:ascii="宋体" w:hAnsi="宋体" w:cs="宋体"/>
          <w:color w:val="auto"/>
          <w:sz w:val="24"/>
          <w:szCs w:val="24"/>
          <w:lang w:val="en-US" w:eastAsia="zh-CN"/>
        </w:rPr>
        <w:t>人</w:t>
      </w:r>
      <w:r>
        <w:rPr>
          <w:rFonts w:hint="eastAsia" w:ascii="宋体" w:hAnsi="宋体" w:cs="宋体"/>
          <w:color w:val="auto"/>
          <w:sz w:val="24"/>
          <w:szCs w:val="24"/>
          <w:highlight w:val="none"/>
        </w:rPr>
        <w:t>组建的管理中心负责人在</w:t>
      </w:r>
      <w:r>
        <w:rPr>
          <w:rFonts w:hint="eastAsia" w:ascii="宋体" w:hAnsi="宋体" w:cs="宋体"/>
          <w:color w:val="auto"/>
          <w:sz w:val="24"/>
          <w:szCs w:val="24"/>
          <w:highlight w:val="none"/>
          <w:lang w:val="en-US" w:eastAsia="zh-CN"/>
        </w:rPr>
        <w:t>30</w:t>
      </w:r>
      <w:r>
        <w:rPr>
          <w:rFonts w:hint="eastAsia" w:ascii="宋体" w:hAnsi="宋体" w:cs="宋体"/>
          <w:color w:val="auto"/>
          <w:sz w:val="24"/>
          <w:szCs w:val="24"/>
          <w:highlight w:val="none"/>
        </w:rPr>
        <w:t>分钟内到达现场解决相关问题。</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.因不可抗力、自然灾害等原因造成的设备设施损坏不在中标</w:t>
      </w:r>
      <w:r>
        <w:rPr>
          <w:rFonts w:hint="eastAsia" w:ascii="宋体" w:hAnsi="宋体" w:cs="宋体"/>
          <w:color w:val="auto"/>
          <w:sz w:val="24"/>
          <w:szCs w:val="24"/>
          <w:highlight w:val="none"/>
          <w:lang w:eastAsia="zh-CN"/>
        </w:rPr>
        <w:t>人</w:t>
      </w:r>
      <w:r>
        <w:rPr>
          <w:rFonts w:hint="eastAsia" w:ascii="宋体" w:hAnsi="宋体" w:cs="宋体"/>
          <w:color w:val="auto"/>
          <w:sz w:val="24"/>
          <w:szCs w:val="24"/>
          <w:highlight w:val="none"/>
        </w:rPr>
        <w:t>负责范围内。</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cs="宋体"/>
          <w:color w:val="000000"/>
          <w:sz w:val="24"/>
          <w:szCs w:val="24"/>
        </w:rPr>
        <w:t>针对本项目特点，投标人需在投标文件</w:t>
      </w:r>
      <w:r>
        <w:rPr>
          <w:rFonts w:hint="eastAsia" w:ascii="宋体" w:hAnsi="宋体" w:cs="宋体"/>
          <w:color w:val="000000"/>
          <w:sz w:val="24"/>
          <w:szCs w:val="24"/>
          <w:lang w:val="en-US" w:eastAsia="zh-CN"/>
        </w:rPr>
        <w:t>中心城区河涌</w:t>
      </w:r>
      <w:r>
        <w:rPr>
          <w:rFonts w:hint="eastAsia" w:ascii="宋体" w:hAnsi="宋体" w:cs="宋体"/>
          <w:color w:val="000000"/>
          <w:sz w:val="24"/>
          <w:szCs w:val="24"/>
        </w:rPr>
        <w:t>的维护及管理的方案，并准备向评标委员会进行10分钟的表述，表述将在评标时进行。</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10.中标人须指定一名专人驻场对接本项目事宜（驻场人员费用包含在投标总价中）。</w:t>
      </w:r>
    </w:p>
    <w:p>
      <w:pPr>
        <w:widowControl/>
        <w:adjustRightInd/>
        <w:snapToGrid/>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lang w:val="en-US" w:eastAsia="zh-CN"/>
        </w:rPr>
        <w:t>中标人需为本项目拟投入设备，</w:t>
      </w:r>
      <w:r>
        <w:rPr>
          <w:rFonts w:hint="eastAsia" w:ascii="宋体" w:hAnsi="宋体" w:cs="宋体"/>
          <w:color w:val="auto"/>
          <w:sz w:val="24"/>
          <w:szCs w:val="24"/>
        </w:rPr>
        <w:t>包括不限于洒水车</w:t>
      </w:r>
      <w:r>
        <w:rPr>
          <w:rFonts w:hint="eastAsia" w:ascii="宋体" w:hAnsi="宋体" w:cs="宋体"/>
          <w:color w:val="auto"/>
          <w:sz w:val="24"/>
          <w:szCs w:val="24"/>
          <w:lang w:val="en-US" w:eastAsia="zh-CN"/>
        </w:rPr>
        <w:t>13</w:t>
      </w:r>
      <w:r>
        <w:rPr>
          <w:rFonts w:hint="eastAsia" w:ascii="宋体" w:hAnsi="宋体" w:cs="宋体"/>
          <w:color w:val="auto"/>
          <w:sz w:val="24"/>
          <w:szCs w:val="24"/>
        </w:rPr>
        <w:t>辆、巡查车</w:t>
      </w:r>
      <w:r>
        <w:rPr>
          <w:rFonts w:hint="eastAsia" w:ascii="宋体" w:hAnsi="宋体" w:cs="宋体"/>
          <w:color w:val="auto"/>
          <w:sz w:val="24"/>
          <w:szCs w:val="24"/>
          <w:lang w:val="en-US" w:eastAsia="zh-CN"/>
        </w:rPr>
        <w:t>9</w:t>
      </w:r>
      <w:r>
        <w:rPr>
          <w:rFonts w:hint="eastAsia" w:ascii="宋体" w:hAnsi="宋体" w:cs="宋体"/>
          <w:color w:val="auto"/>
          <w:sz w:val="24"/>
          <w:szCs w:val="24"/>
        </w:rPr>
        <w:t>辆、高空修剪车</w:t>
      </w:r>
      <w:r>
        <w:rPr>
          <w:rFonts w:hint="eastAsia" w:ascii="宋体" w:hAnsi="宋体" w:cs="宋体"/>
          <w:color w:val="auto"/>
          <w:sz w:val="24"/>
          <w:szCs w:val="24"/>
          <w:lang w:val="en-US" w:eastAsia="zh-CN"/>
        </w:rPr>
        <w:t>6</w:t>
      </w:r>
      <w:r>
        <w:rPr>
          <w:rFonts w:hint="eastAsia" w:ascii="宋体" w:hAnsi="宋体" w:cs="宋体"/>
          <w:color w:val="auto"/>
          <w:sz w:val="24"/>
          <w:szCs w:val="24"/>
        </w:rPr>
        <w:t>辆、工程车</w:t>
      </w:r>
      <w:r>
        <w:rPr>
          <w:rFonts w:hint="eastAsia" w:ascii="宋体" w:hAnsi="宋体" w:cs="宋体"/>
          <w:color w:val="auto"/>
          <w:sz w:val="24"/>
          <w:szCs w:val="24"/>
          <w:lang w:val="en-US" w:eastAsia="zh-CN"/>
        </w:rPr>
        <w:t>9</w:t>
      </w:r>
      <w:r>
        <w:rPr>
          <w:rFonts w:hint="eastAsia" w:ascii="宋体" w:hAnsi="宋体" w:cs="宋体"/>
          <w:color w:val="auto"/>
          <w:sz w:val="24"/>
          <w:szCs w:val="24"/>
        </w:rPr>
        <w:t>辆、打药机</w:t>
      </w:r>
      <w:r>
        <w:rPr>
          <w:rFonts w:hint="eastAsia" w:ascii="宋体" w:hAnsi="宋体" w:cs="宋体"/>
          <w:color w:val="auto"/>
          <w:sz w:val="24"/>
          <w:szCs w:val="24"/>
          <w:lang w:val="en-US" w:eastAsia="zh-CN"/>
        </w:rPr>
        <w:t>18</w:t>
      </w:r>
      <w:r>
        <w:rPr>
          <w:rFonts w:hint="eastAsia" w:ascii="宋体" w:hAnsi="宋体" w:cs="宋体"/>
          <w:color w:val="auto"/>
          <w:sz w:val="24"/>
          <w:szCs w:val="24"/>
        </w:rPr>
        <w:t>台、油锯</w:t>
      </w:r>
      <w:r>
        <w:rPr>
          <w:rFonts w:hint="eastAsia" w:ascii="宋体" w:hAnsi="宋体" w:cs="宋体"/>
          <w:color w:val="auto"/>
          <w:sz w:val="24"/>
          <w:szCs w:val="24"/>
          <w:lang w:val="en-US" w:eastAsia="zh-CN"/>
        </w:rPr>
        <w:t>18</w:t>
      </w:r>
      <w:r>
        <w:rPr>
          <w:rFonts w:hint="eastAsia" w:ascii="宋体" w:hAnsi="宋体" w:cs="宋体"/>
          <w:color w:val="auto"/>
          <w:sz w:val="24"/>
          <w:szCs w:val="24"/>
        </w:rPr>
        <w:t>台、高枝剪</w:t>
      </w:r>
      <w:r>
        <w:rPr>
          <w:rFonts w:hint="eastAsia" w:ascii="宋体" w:hAnsi="宋体" w:cs="宋体"/>
          <w:color w:val="auto"/>
          <w:sz w:val="24"/>
          <w:szCs w:val="24"/>
          <w:lang w:val="en-US" w:eastAsia="zh-CN"/>
        </w:rPr>
        <w:t>26</w:t>
      </w:r>
      <w:r>
        <w:rPr>
          <w:rFonts w:hint="eastAsia" w:ascii="宋体" w:hAnsi="宋体" w:cs="宋体"/>
          <w:color w:val="auto"/>
          <w:sz w:val="24"/>
          <w:szCs w:val="24"/>
        </w:rPr>
        <w:t>把、绿篱机</w:t>
      </w:r>
      <w:r>
        <w:rPr>
          <w:rFonts w:hint="eastAsia" w:ascii="宋体" w:hAnsi="宋体" w:cs="宋体"/>
          <w:color w:val="auto"/>
          <w:sz w:val="24"/>
          <w:szCs w:val="24"/>
          <w:lang w:val="en-US" w:eastAsia="zh-CN"/>
        </w:rPr>
        <w:t>18</w:t>
      </w:r>
      <w:r>
        <w:rPr>
          <w:rFonts w:hint="eastAsia" w:ascii="宋体" w:hAnsi="宋体" w:cs="宋体"/>
          <w:color w:val="auto"/>
          <w:sz w:val="24"/>
          <w:szCs w:val="24"/>
        </w:rPr>
        <w:t>台、四轮割草机</w:t>
      </w:r>
      <w:r>
        <w:rPr>
          <w:rFonts w:hint="eastAsia" w:ascii="宋体" w:hAnsi="宋体" w:cs="宋体"/>
          <w:color w:val="auto"/>
          <w:sz w:val="24"/>
          <w:szCs w:val="24"/>
          <w:lang w:val="en-US" w:eastAsia="zh-CN"/>
        </w:rPr>
        <w:t>9</w:t>
      </w:r>
      <w:r>
        <w:rPr>
          <w:rFonts w:hint="eastAsia" w:ascii="宋体" w:hAnsi="宋体" w:cs="宋体"/>
          <w:color w:val="auto"/>
          <w:sz w:val="24"/>
          <w:szCs w:val="24"/>
        </w:rPr>
        <w:t>台、高压洗地机</w:t>
      </w:r>
      <w:r>
        <w:rPr>
          <w:rFonts w:hint="eastAsia" w:ascii="宋体" w:hAnsi="宋体" w:cs="宋体"/>
          <w:color w:val="auto"/>
          <w:sz w:val="24"/>
          <w:szCs w:val="24"/>
          <w:lang w:val="en-US" w:eastAsia="zh-CN"/>
        </w:rPr>
        <w:t>9</w:t>
      </w:r>
      <w:r>
        <w:rPr>
          <w:rFonts w:hint="eastAsia" w:ascii="宋体" w:hAnsi="宋体" w:cs="宋体"/>
          <w:color w:val="auto"/>
          <w:sz w:val="24"/>
          <w:szCs w:val="24"/>
        </w:rPr>
        <w:t>台、草坪梳草机</w:t>
      </w:r>
      <w:r>
        <w:rPr>
          <w:rFonts w:hint="eastAsia" w:ascii="宋体" w:hAnsi="宋体" w:cs="宋体"/>
          <w:color w:val="auto"/>
          <w:sz w:val="24"/>
          <w:szCs w:val="24"/>
          <w:lang w:val="en-US" w:eastAsia="zh-CN"/>
        </w:rPr>
        <w:t>6</w:t>
      </w:r>
      <w:r>
        <w:rPr>
          <w:rFonts w:hint="eastAsia" w:ascii="宋体" w:hAnsi="宋体" w:cs="宋体"/>
          <w:color w:val="auto"/>
          <w:sz w:val="24"/>
          <w:szCs w:val="24"/>
        </w:rPr>
        <w:t>台、切边机</w:t>
      </w:r>
      <w:r>
        <w:rPr>
          <w:rFonts w:hint="eastAsia" w:ascii="宋体" w:hAnsi="宋体" w:cs="宋体"/>
          <w:color w:val="auto"/>
          <w:sz w:val="24"/>
          <w:szCs w:val="24"/>
          <w:lang w:val="en-US" w:eastAsia="zh-CN"/>
        </w:rPr>
        <w:t>6</w:t>
      </w:r>
      <w:r>
        <w:rPr>
          <w:rFonts w:hint="eastAsia" w:ascii="宋体" w:hAnsi="宋体" w:cs="宋体"/>
          <w:color w:val="auto"/>
          <w:sz w:val="24"/>
          <w:szCs w:val="24"/>
        </w:rPr>
        <w:t>台</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水泵12台</w:t>
      </w:r>
      <w:r>
        <w:rPr>
          <w:rFonts w:hint="eastAsia" w:ascii="宋体" w:hAnsi="宋体" w:cs="宋体"/>
          <w:color w:val="auto"/>
          <w:sz w:val="24"/>
          <w:szCs w:val="24"/>
          <w:highlight w:val="none"/>
          <w:lang w:val="en-US" w:eastAsia="zh-CN"/>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要确保一线养护人员的稳定，更换人员必须及时通知采购人，中标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不得以通过不正当手段频繁更换人员获取利益。更换项目经理及园林工程师须经采购人同意，拟重新派驻的项目经理及园林工程师须符合本招标文件的要求。</w:t>
      </w:r>
    </w:p>
    <w:p>
      <w:pPr>
        <w:adjustRightInd w:val="0"/>
        <w:snapToGrid w:val="0"/>
        <w:spacing w:line="360" w:lineRule="auto"/>
        <w:ind w:firstLine="480" w:firstLineChars="200"/>
        <w:rPr>
          <w:rFonts w:hint="eastAsia" w:ascii="宋体" w:hAnsi="宋体" w:eastAsia="宋体" w:cs="宋体"/>
          <w:b w:val="0"/>
          <w:bCs w:val="0"/>
          <w:color w:val="auto"/>
          <w:sz w:val="24"/>
          <w:lang w:val="en-US" w:eastAsia="zh-CN"/>
        </w:rPr>
      </w:pPr>
      <w:r>
        <w:rPr>
          <w:rFonts w:hint="eastAsia" w:ascii="宋体" w:hAnsi="宋体" w:cs="宋体"/>
          <w:b w:val="0"/>
          <w:bCs w:val="0"/>
          <w:color w:val="auto"/>
          <w:sz w:val="24"/>
          <w:lang w:val="en-US" w:eastAsia="zh-CN"/>
        </w:rPr>
        <w:t>13、</w:t>
      </w:r>
      <w:r>
        <w:rPr>
          <w:rFonts w:hint="eastAsia" w:ascii="宋体" w:hAnsi="宋体" w:eastAsia="宋体" w:cs="宋体"/>
          <w:b w:val="0"/>
          <w:bCs w:val="0"/>
          <w:color w:val="auto"/>
          <w:sz w:val="24"/>
          <w:lang w:val="en-US" w:eastAsia="zh-CN"/>
        </w:rPr>
        <w:t>中标人须做好河</w:t>
      </w:r>
      <w:r>
        <w:rPr>
          <w:rFonts w:hint="eastAsia" w:ascii="宋体" w:hAnsi="宋体" w:cs="宋体"/>
          <w:b w:val="0"/>
          <w:bCs w:val="0"/>
          <w:color w:val="auto"/>
          <w:sz w:val="24"/>
          <w:lang w:val="en-US" w:eastAsia="zh-CN"/>
        </w:rPr>
        <w:t>涌</w:t>
      </w:r>
      <w:r>
        <w:rPr>
          <w:rFonts w:hint="eastAsia" w:ascii="宋体" w:hAnsi="宋体" w:eastAsia="宋体" w:cs="宋体"/>
          <w:b w:val="0"/>
          <w:bCs w:val="0"/>
          <w:color w:val="auto"/>
          <w:sz w:val="24"/>
          <w:lang w:val="en-US" w:eastAsia="zh-CN"/>
        </w:rPr>
        <w:t>管理范围内的巡查工作，发现有水利设施损坏、河道水质异常、河道管理范围违法行为等情况时，按采购人相关要求上报情况。</w:t>
      </w:r>
    </w:p>
    <w:p>
      <w:pPr>
        <w:adjustRightInd w:val="0"/>
        <w:snapToGrid w:val="0"/>
        <w:spacing w:line="360" w:lineRule="auto"/>
        <w:ind w:firstLine="480" w:firstLineChars="2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lang w:val="en-US" w:eastAsia="zh-CN"/>
        </w:rPr>
        <w:t>1</w:t>
      </w:r>
      <w:r>
        <w:rPr>
          <w:rFonts w:hint="eastAsia" w:ascii="宋体" w:hAnsi="宋体" w:cs="宋体"/>
          <w:b w:val="0"/>
          <w:bCs w:val="0"/>
          <w:color w:val="auto"/>
          <w:sz w:val="24"/>
          <w:lang w:val="en-US" w:eastAsia="zh-CN"/>
        </w:rPr>
        <w:t>4.</w:t>
      </w:r>
      <w:r>
        <w:rPr>
          <w:rFonts w:hint="eastAsia" w:ascii="宋体" w:hAnsi="宋体" w:eastAsia="宋体" w:cs="宋体"/>
          <w:b w:val="0"/>
          <w:bCs w:val="0"/>
          <w:color w:val="auto"/>
          <w:sz w:val="24"/>
          <w:lang w:val="en-US" w:eastAsia="zh-CN"/>
        </w:rPr>
        <w:t>中标人须做好河</w:t>
      </w:r>
      <w:r>
        <w:rPr>
          <w:rFonts w:hint="eastAsia" w:ascii="宋体" w:hAnsi="宋体" w:cs="宋体"/>
          <w:b w:val="0"/>
          <w:bCs w:val="0"/>
          <w:color w:val="auto"/>
          <w:sz w:val="24"/>
          <w:lang w:val="en-US" w:eastAsia="zh-CN"/>
        </w:rPr>
        <w:t>涌</w:t>
      </w:r>
      <w:r>
        <w:rPr>
          <w:rFonts w:hint="eastAsia" w:ascii="宋体" w:hAnsi="宋体" w:eastAsia="宋体" w:cs="宋体"/>
          <w:b w:val="0"/>
          <w:bCs w:val="0"/>
          <w:color w:val="auto"/>
          <w:sz w:val="24"/>
          <w:lang w:val="en-US" w:eastAsia="zh-CN"/>
        </w:rPr>
        <w:t>管理范围内的涉河建设项目的监督与巡查工作，按采购人相关要求上报情况。</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宋体" w:hAnsi="宋体" w:cs="宋体"/>
          <w:color w:val="auto"/>
          <w:sz w:val="24"/>
          <w:highlight w:val="none"/>
        </w:rPr>
      </w:pPr>
      <w:r>
        <w:rPr>
          <w:rFonts w:hint="eastAsia" w:ascii="宋体" w:hAnsi="宋体" w:cs="宋体"/>
          <w:b/>
          <w:bCs/>
          <w:color w:val="auto"/>
          <w:sz w:val="24"/>
          <w:highlight w:val="none"/>
        </w:rPr>
        <w:t>（二）</w:t>
      </w:r>
      <w:r>
        <w:rPr>
          <w:rFonts w:hint="eastAsia" w:ascii="宋体" w:hAnsi="宋体" w:cs="宋体"/>
          <w:b/>
          <w:bCs/>
          <w:color w:val="auto"/>
          <w:sz w:val="24"/>
          <w:highlight w:val="none"/>
          <w:lang w:val="en-US" w:eastAsia="zh-CN"/>
        </w:rPr>
        <w:t>安保管理及巡查工作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eastAsia="宋体" w:cs="宋体"/>
          <w:b w:val="0"/>
          <w:bCs w:val="0"/>
          <w:color w:val="auto"/>
          <w:sz w:val="24"/>
          <w:highlight w:val="none"/>
          <w:lang w:val="en-US" w:eastAsia="zh-CN"/>
        </w:rPr>
        <w:t>巡查人员</w:t>
      </w:r>
      <w:r>
        <w:rPr>
          <w:rFonts w:hint="eastAsia" w:ascii="宋体" w:hAnsi="宋体" w:eastAsia="宋体" w:cs="宋体"/>
          <w:b w:val="0"/>
          <w:bCs w:val="0"/>
          <w:color w:val="auto"/>
          <w:sz w:val="24"/>
          <w:highlight w:val="none"/>
        </w:rPr>
        <w:t>须实行24小时设岗值班，采取固定站岗和机动巡查相结合的方式。严格按照采购人要求每岗24小时出勤值班，中标人必须保证</w:t>
      </w:r>
      <w:r>
        <w:rPr>
          <w:rFonts w:hint="eastAsia" w:ascii="宋体" w:hAnsi="宋体" w:eastAsia="宋体" w:cs="宋体"/>
          <w:b w:val="0"/>
          <w:bCs w:val="0"/>
          <w:color w:val="auto"/>
          <w:sz w:val="24"/>
          <w:highlight w:val="none"/>
          <w:lang w:val="en-US" w:eastAsia="zh-CN"/>
        </w:rPr>
        <w:t>巡查人员</w:t>
      </w:r>
      <w:r>
        <w:rPr>
          <w:rFonts w:hint="eastAsia" w:ascii="宋体" w:hAnsi="宋体" w:eastAsia="宋体" w:cs="宋体"/>
          <w:b w:val="0"/>
          <w:bCs w:val="0"/>
          <w:color w:val="auto"/>
          <w:sz w:val="24"/>
          <w:highlight w:val="none"/>
        </w:rPr>
        <w:t>每周每人工作时间不超40小时，超出部分时间由中标人严格按照国家标准支付相应加班费，服务期内发生的各</w:t>
      </w:r>
      <w:r>
        <w:rPr>
          <w:rFonts w:hint="eastAsia" w:ascii="宋体" w:hAnsi="宋体" w:eastAsia="宋体" w:cs="宋体"/>
          <w:b w:val="0"/>
          <w:bCs w:val="0"/>
          <w:color w:val="auto"/>
          <w:sz w:val="24"/>
        </w:rPr>
        <w:t>种事故。如，劳资纠纷事件等，均由中标人承担相应责任。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巡查人员</w:t>
      </w:r>
      <w:r>
        <w:rPr>
          <w:rFonts w:hint="eastAsia" w:ascii="宋体" w:hAnsi="宋体" w:eastAsia="宋体" w:cs="宋体"/>
          <w:b w:val="0"/>
          <w:bCs w:val="0"/>
          <w:color w:val="auto"/>
          <w:sz w:val="24"/>
        </w:rPr>
        <w:t>须熟悉服务区域的业务管理知识，中标人可提前与采购人协商培训事宜。应指派专职人员进行工作接洽和日常工作管理，并派员对</w:t>
      </w:r>
      <w:r>
        <w:rPr>
          <w:rFonts w:hint="eastAsia" w:ascii="宋体" w:hAnsi="宋体" w:eastAsia="宋体" w:cs="宋体"/>
          <w:b w:val="0"/>
          <w:bCs w:val="0"/>
          <w:color w:val="auto"/>
          <w:sz w:val="24"/>
          <w:lang w:val="en-US" w:eastAsia="zh-CN"/>
        </w:rPr>
        <w:t>巡查人员</w:t>
      </w:r>
      <w:r>
        <w:rPr>
          <w:rFonts w:hint="eastAsia" w:ascii="宋体" w:hAnsi="宋体" w:eastAsia="宋体" w:cs="宋体"/>
          <w:b w:val="0"/>
          <w:bCs w:val="0"/>
          <w:color w:val="auto"/>
          <w:sz w:val="24"/>
        </w:rPr>
        <w:t>进行经常性的检查督促及教育培训。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rPr>
        <w:t>3、中标人提供的</w:t>
      </w:r>
      <w:r>
        <w:rPr>
          <w:rFonts w:hint="eastAsia" w:ascii="宋体" w:hAnsi="宋体" w:eastAsia="宋体" w:cs="宋体"/>
          <w:b w:val="0"/>
          <w:bCs w:val="0"/>
          <w:color w:val="auto"/>
          <w:sz w:val="24"/>
          <w:lang w:val="en-US" w:eastAsia="zh-CN"/>
        </w:rPr>
        <w:t>巡查人员</w:t>
      </w:r>
      <w:r>
        <w:rPr>
          <w:rFonts w:hint="eastAsia" w:ascii="宋体" w:hAnsi="宋体" w:eastAsia="宋体" w:cs="宋体"/>
          <w:b w:val="0"/>
          <w:bCs w:val="0"/>
          <w:color w:val="auto"/>
          <w:sz w:val="24"/>
        </w:rPr>
        <w:t>必须文明上岗，穿着统一工作服，佩戴工号牌，当值期间不得串岗、聊天或做私人工作。如在采购人日常巡查抽检中发现当值公园</w:t>
      </w:r>
      <w:r>
        <w:rPr>
          <w:rFonts w:hint="eastAsia" w:ascii="宋体" w:hAnsi="宋体" w:eastAsia="宋体" w:cs="宋体"/>
          <w:b w:val="0"/>
          <w:bCs w:val="0"/>
          <w:color w:val="auto"/>
          <w:sz w:val="24"/>
          <w:lang w:val="en-US" w:eastAsia="zh-CN"/>
        </w:rPr>
        <w:t>巡查人员</w:t>
      </w:r>
      <w:r>
        <w:rPr>
          <w:rFonts w:hint="eastAsia" w:ascii="宋体" w:hAnsi="宋体" w:eastAsia="宋体" w:cs="宋体"/>
          <w:b w:val="0"/>
          <w:bCs w:val="0"/>
          <w:color w:val="auto"/>
          <w:sz w:val="24"/>
        </w:rPr>
        <w:t>存在打磕睡、睡觉、玩手机、聊天等现象，每次以书面进行通报。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rPr>
        <w:t>4、</w:t>
      </w:r>
      <w:r>
        <w:rPr>
          <w:rFonts w:ascii="宋体" w:hAnsi="宋体" w:cs="宋体"/>
          <w:color w:val="auto"/>
          <w:sz w:val="24"/>
          <w:highlight w:val="none"/>
        </w:rPr>
        <w:t>中标</w:t>
      </w:r>
      <w:r>
        <w:rPr>
          <w:rFonts w:hint="eastAsia" w:ascii="宋体" w:hAnsi="宋体" w:cs="宋体"/>
          <w:color w:val="auto"/>
          <w:sz w:val="24"/>
          <w:highlight w:val="none"/>
          <w:lang w:eastAsia="zh-CN"/>
        </w:rPr>
        <w:t>供应商</w:t>
      </w:r>
      <w:r>
        <w:rPr>
          <w:rFonts w:ascii="宋体" w:hAnsi="宋体" w:cs="宋体"/>
          <w:color w:val="auto"/>
          <w:sz w:val="24"/>
          <w:highlight w:val="none"/>
        </w:rPr>
        <w:t>必须维护</w:t>
      </w:r>
      <w:r>
        <w:rPr>
          <w:rFonts w:hint="eastAsia" w:ascii="宋体" w:hAnsi="宋体" w:cs="宋体"/>
          <w:color w:val="auto"/>
          <w:sz w:val="24"/>
          <w:highlight w:val="none"/>
          <w:lang w:val="en-US" w:eastAsia="zh-CN"/>
        </w:rPr>
        <w:t>文教园区、生态浮岛区域</w:t>
      </w:r>
      <w:r>
        <w:rPr>
          <w:rFonts w:hint="eastAsia" w:ascii="宋体" w:hAnsi="宋体" w:cs="宋体"/>
          <w:color w:val="auto"/>
          <w:sz w:val="24"/>
          <w:highlight w:val="none"/>
        </w:rPr>
        <w:t>内治安秩序。做好每月巡查人员考勤统计、做好交接班工作及上报每周人员工作安排、做好日常公共设施巡查记录</w:t>
      </w:r>
      <w:r>
        <w:rPr>
          <w:rFonts w:hint="eastAsia" w:ascii="宋体" w:hAnsi="宋体" w:eastAsia="宋体" w:cs="宋体"/>
          <w:b w:val="0"/>
          <w:bCs w:val="0"/>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rPr>
        <w:t>5、</w:t>
      </w:r>
      <w:r>
        <w:rPr>
          <w:rFonts w:ascii="宋体" w:hAnsi="宋体" w:cs="宋体"/>
          <w:color w:val="auto"/>
          <w:sz w:val="24"/>
          <w:highlight w:val="none"/>
        </w:rPr>
        <w:t>确保</w:t>
      </w:r>
      <w:r>
        <w:rPr>
          <w:rFonts w:hint="eastAsia" w:ascii="宋体" w:hAnsi="宋体" w:cs="宋体"/>
          <w:color w:val="auto"/>
          <w:sz w:val="24"/>
          <w:highlight w:val="none"/>
          <w:lang w:val="en-US" w:eastAsia="zh-CN"/>
        </w:rPr>
        <w:t>文教园区、生态浮岛区域</w:t>
      </w:r>
      <w:r>
        <w:rPr>
          <w:rFonts w:hint="eastAsia" w:ascii="宋体" w:hAnsi="宋体" w:cs="宋体"/>
          <w:color w:val="auto"/>
          <w:sz w:val="24"/>
          <w:highlight w:val="none"/>
        </w:rPr>
        <w:t>内治安及秩序正常，当工作人员或公众生命财产受到威胁，巡查人员要立即到达现场，并采取积极措施及时处理并上报有关领导部门，如因处理事件不及时造成事故，一切责任由中标</w:t>
      </w:r>
      <w:r>
        <w:rPr>
          <w:rFonts w:hint="eastAsia" w:ascii="宋体" w:hAnsi="宋体" w:cs="宋体"/>
          <w:color w:val="auto"/>
          <w:sz w:val="24"/>
          <w:highlight w:val="none"/>
          <w:lang w:eastAsia="zh-CN"/>
        </w:rPr>
        <w:t>供应商</w:t>
      </w:r>
      <w:r>
        <w:rPr>
          <w:rFonts w:hint="eastAsia" w:ascii="宋体" w:hAnsi="宋体" w:cs="宋体"/>
          <w:color w:val="auto"/>
          <w:sz w:val="24"/>
          <w:highlight w:val="none"/>
        </w:rPr>
        <w:t>负责</w:t>
      </w:r>
      <w:r>
        <w:rPr>
          <w:rFonts w:hint="eastAsia" w:ascii="宋体" w:hAnsi="宋体" w:eastAsia="宋体" w:cs="宋体"/>
          <w:b w:val="0"/>
          <w:bCs w:val="0"/>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lang w:val="en-US" w:eastAsia="zh-CN"/>
        </w:rPr>
        <w:t>6</w:t>
      </w:r>
      <w:r>
        <w:rPr>
          <w:rFonts w:hint="eastAsia" w:ascii="宋体" w:hAnsi="宋体" w:eastAsia="宋体" w:cs="宋体"/>
          <w:b w:val="0"/>
          <w:bCs w:val="0"/>
          <w:color w:val="auto"/>
          <w:sz w:val="24"/>
        </w:rPr>
        <w:t>、中标人须对通讯线路、供电线路、供水管道、沙井、水池等公共设施</w:t>
      </w:r>
      <w:r>
        <w:rPr>
          <w:rFonts w:hint="eastAsia" w:ascii="宋体" w:hAnsi="宋体" w:eastAsia="宋体" w:cs="宋体"/>
          <w:b w:val="0"/>
          <w:bCs w:val="0"/>
          <w:color w:val="auto"/>
          <w:sz w:val="24"/>
          <w:lang w:val="en-US" w:eastAsia="zh-CN"/>
        </w:rPr>
        <w:t>维护</w:t>
      </w:r>
      <w:r>
        <w:rPr>
          <w:rFonts w:hint="eastAsia" w:ascii="宋体" w:hAnsi="宋体" w:eastAsia="宋体" w:cs="宋体"/>
          <w:b w:val="0"/>
          <w:bCs w:val="0"/>
          <w:color w:val="auto"/>
          <w:sz w:val="24"/>
        </w:rPr>
        <w:t>，做好安全巡查记录。根据安全巡查结果，对需要维修或更新改造项目，应及时以书面形式向</w:t>
      </w:r>
      <w:r>
        <w:rPr>
          <w:rFonts w:hint="eastAsia" w:ascii="宋体" w:hAnsi="宋体" w:eastAsia="宋体" w:cs="宋体"/>
          <w:b w:val="0"/>
          <w:bCs w:val="0"/>
          <w:color w:val="auto"/>
          <w:sz w:val="24"/>
          <w:lang w:val="en-US" w:eastAsia="zh-CN"/>
        </w:rPr>
        <w:t>采购人书面报告</w:t>
      </w:r>
      <w:r>
        <w:rPr>
          <w:rFonts w:hint="eastAsia" w:ascii="宋体" w:hAnsi="宋体" w:eastAsia="宋体" w:cs="宋体"/>
          <w:b w:val="0"/>
          <w:bCs w:val="0"/>
          <w:color w:val="auto"/>
          <w:sz w:val="24"/>
        </w:rPr>
        <w:t>，由采购人安排</w:t>
      </w:r>
      <w:r>
        <w:rPr>
          <w:rFonts w:hint="eastAsia" w:ascii="宋体" w:hAnsi="宋体" w:eastAsia="宋体" w:cs="宋体"/>
          <w:b w:val="0"/>
          <w:bCs w:val="0"/>
          <w:color w:val="auto"/>
          <w:sz w:val="24"/>
          <w:lang w:val="en-US" w:eastAsia="zh-CN"/>
        </w:rPr>
        <w:t>维修</w:t>
      </w:r>
      <w:r>
        <w:rPr>
          <w:rFonts w:hint="eastAsia" w:ascii="宋体" w:hAnsi="宋体" w:eastAsia="宋体" w:cs="宋体"/>
          <w:b w:val="0"/>
          <w:bCs w:val="0"/>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lang w:val="en-US" w:eastAsia="zh-CN"/>
        </w:rPr>
        <w:t>7</w:t>
      </w:r>
      <w:r>
        <w:rPr>
          <w:rFonts w:hint="eastAsia" w:ascii="宋体" w:hAnsi="宋体" w:eastAsia="宋体" w:cs="宋体"/>
          <w:b w:val="0"/>
          <w:bCs w:val="0"/>
          <w:color w:val="auto"/>
          <w:sz w:val="24"/>
        </w:rPr>
        <w:t>、负责日常的消防安全检查，配合制定火灾紧急处置预案，发现火灾隐患及时提出整改意见；协助做好消防设备的定期检查工作、确保消防系统畅通，预防、处理突发消防事故</w:t>
      </w:r>
      <w:r>
        <w:rPr>
          <w:rFonts w:hint="eastAsia" w:ascii="宋体" w:hAnsi="宋体" w:eastAsia="宋体" w:cs="宋体"/>
          <w:b w:val="0"/>
          <w:bCs w:val="0"/>
          <w:color w:val="auto"/>
          <w:sz w:val="24"/>
          <w:lang w:eastAsia="zh-CN"/>
        </w:rPr>
        <w:t>；定期组织安全演练</w:t>
      </w:r>
      <w:r>
        <w:rPr>
          <w:rFonts w:hint="eastAsia" w:ascii="宋体" w:hAnsi="宋体" w:eastAsia="宋体" w:cs="宋体"/>
          <w:b w:val="0"/>
          <w:bCs w:val="0"/>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lang w:val="en-US" w:eastAsia="zh-CN"/>
        </w:rPr>
        <w:t>8</w:t>
      </w:r>
      <w:r>
        <w:rPr>
          <w:rFonts w:hint="eastAsia" w:ascii="宋体" w:hAnsi="宋体" w:eastAsia="宋体" w:cs="宋体"/>
          <w:b w:val="0"/>
          <w:bCs w:val="0"/>
          <w:color w:val="auto"/>
          <w:sz w:val="24"/>
        </w:rPr>
        <w:t>、中标人派驻</w:t>
      </w:r>
      <w:r>
        <w:rPr>
          <w:rFonts w:hint="eastAsia" w:ascii="宋体" w:hAnsi="宋体" w:eastAsia="宋体" w:cs="宋体"/>
          <w:b w:val="0"/>
          <w:bCs w:val="0"/>
          <w:color w:val="auto"/>
          <w:sz w:val="24"/>
          <w:lang w:val="en-US" w:eastAsia="zh-CN"/>
        </w:rPr>
        <w:t>巡查人员</w:t>
      </w:r>
      <w:r>
        <w:rPr>
          <w:rFonts w:hint="eastAsia" w:ascii="宋体" w:hAnsi="宋体" w:eastAsia="宋体" w:cs="宋体"/>
          <w:b w:val="0"/>
          <w:bCs w:val="0"/>
          <w:color w:val="auto"/>
          <w:sz w:val="24"/>
        </w:rPr>
        <w:t>必须遵守</w:t>
      </w:r>
      <w:r>
        <w:rPr>
          <w:rFonts w:hint="eastAsia" w:ascii="宋体" w:hAnsi="宋体" w:eastAsia="宋体" w:cs="宋体"/>
          <w:b w:val="0"/>
          <w:bCs w:val="0"/>
          <w:color w:val="auto"/>
          <w:sz w:val="24"/>
          <w:lang w:val="en-US" w:eastAsia="zh-CN"/>
        </w:rPr>
        <w:t>采购人</w:t>
      </w:r>
      <w:r>
        <w:rPr>
          <w:rFonts w:hint="eastAsia" w:ascii="宋体" w:hAnsi="宋体" w:eastAsia="宋体" w:cs="宋体"/>
          <w:b w:val="0"/>
          <w:bCs w:val="0"/>
          <w:color w:val="auto"/>
          <w:sz w:val="24"/>
        </w:rPr>
        <w:t>的各项规章制度和严格遵守采购人的有关机密和保密要求，按照有关规定进行联防工作，并接受</w:t>
      </w:r>
      <w:r>
        <w:rPr>
          <w:rFonts w:hint="eastAsia" w:ascii="宋体" w:hAnsi="宋体" w:eastAsia="宋体" w:cs="宋体"/>
          <w:b w:val="0"/>
          <w:bCs w:val="0"/>
          <w:color w:val="auto"/>
          <w:sz w:val="24"/>
          <w:lang w:val="en-US" w:eastAsia="zh-CN"/>
        </w:rPr>
        <w:t>采购人</w:t>
      </w:r>
      <w:r>
        <w:rPr>
          <w:rFonts w:hint="eastAsia" w:ascii="宋体" w:hAnsi="宋体" w:eastAsia="宋体" w:cs="宋体"/>
          <w:b w:val="0"/>
          <w:bCs w:val="0"/>
          <w:color w:val="auto"/>
          <w:sz w:val="24"/>
        </w:rPr>
        <w:t>监督、检查。按照相关规定做好防火、防盗、防爆炸、防治安灾害事故等安全防范工作。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rPr>
      </w:pPr>
      <w:r>
        <w:rPr>
          <w:rFonts w:hint="eastAsia" w:ascii="宋体" w:hAnsi="宋体" w:eastAsia="宋体" w:cs="宋体"/>
          <w:b w:val="0"/>
          <w:bCs w:val="0"/>
          <w:color w:val="auto"/>
          <w:sz w:val="24"/>
          <w:lang w:val="en-US" w:eastAsia="zh-CN"/>
        </w:rPr>
        <w:t>9</w:t>
      </w:r>
      <w:r>
        <w:rPr>
          <w:rFonts w:hint="eastAsia" w:ascii="宋体" w:hAnsi="宋体" w:eastAsia="宋体" w:cs="宋体"/>
          <w:b w:val="0"/>
          <w:bCs w:val="0"/>
          <w:color w:val="auto"/>
          <w:sz w:val="24"/>
        </w:rPr>
        <w:t>、采购人在举办大型活动、会议、重要接待任务时，根据采购人的具体要求，</w:t>
      </w:r>
      <w:r>
        <w:rPr>
          <w:rFonts w:hint="eastAsia" w:ascii="宋体" w:hAnsi="宋体" w:eastAsia="宋体" w:cs="宋体"/>
          <w:b w:val="0"/>
          <w:bCs w:val="0"/>
          <w:color w:val="auto"/>
          <w:sz w:val="24"/>
          <w:lang w:eastAsia="zh-CN"/>
        </w:rPr>
        <w:t>中标人</w:t>
      </w:r>
      <w:r>
        <w:rPr>
          <w:rFonts w:hint="eastAsia" w:ascii="宋体" w:hAnsi="宋体" w:eastAsia="宋体" w:cs="宋体"/>
          <w:b w:val="0"/>
          <w:bCs w:val="0"/>
          <w:color w:val="auto"/>
          <w:sz w:val="24"/>
        </w:rPr>
        <w:t>应积极配合，适当增加人员协助活动场地和会议场所的准备和保卫工作，以及活动后的清场、清洁工作。</w:t>
      </w:r>
    </w:p>
    <w:p>
      <w:pPr>
        <w:keepNext w:val="0"/>
        <w:keepLines w:val="0"/>
        <w:spacing w:line="360" w:lineRule="auto"/>
        <w:ind w:firstLine="480" w:firstLineChars="200"/>
        <w:rPr>
          <w:rFonts w:hint="eastAsia" w:ascii="宋体" w:hAnsi="宋体" w:eastAsia="宋体" w:cs="宋体"/>
          <w:b w:val="0"/>
          <w:bCs w:val="0"/>
          <w:color w:val="auto"/>
          <w:sz w:val="24"/>
        </w:rPr>
      </w:pPr>
      <w:r>
        <w:rPr>
          <w:rFonts w:hint="eastAsia" w:ascii="宋体" w:hAnsi="宋体" w:eastAsia="宋体" w:cs="宋体"/>
          <w:b w:val="0"/>
          <w:bCs w:val="0"/>
          <w:color w:val="auto"/>
          <w:sz w:val="24"/>
        </w:rPr>
        <w:t>1</w:t>
      </w:r>
      <w:r>
        <w:rPr>
          <w:rFonts w:hint="eastAsia" w:ascii="宋体" w:hAnsi="宋体" w:eastAsia="宋体" w:cs="宋体"/>
          <w:b w:val="0"/>
          <w:bCs w:val="0"/>
          <w:color w:val="auto"/>
          <w:sz w:val="24"/>
          <w:lang w:val="en-US" w:eastAsia="zh-CN"/>
        </w:rPr>
        <w:t>0</w:t>
      </w:r>
      <w:r>
        <w:rPr>
          <w:rFonts w:hint="eastAsia" w:ascii="宋体" w:hAnsi="宋体" w:eastAsia="宋体" w:cs="宋体"/>
          <w:b w:val="0"/>
          <w:bCs w:val="0"/>
          <w:color w:val="auto"/>
          <w:sz w:val="24"/>
        </w:rPr>
        <w:t>、中标人由于自身管理不善受政府部门处罚或由于中标人</w:t>
      </w:r>
      <w:r>
        <w:rPr>
          <w:rFonts w:hint="eastAsia" w:ascii="宋体" w:hAnsi="宋体" w:eastAsia="宋体" w:cs="宋体"/>
          <w:b w:val="0"/>
          <w:bCs w:val="0"/>
          <w:color w:val="auto"/>
          <w:sz w:val="24"/>
          <w:lang w:eastAsia="zh-CN"/>
        </w:rPr>
        <w:t>巡查</w:t>
      </w:r>
      <w:r>
        <w:rPr>
          <w:rFonts w:hint="eastAsia" w:ascii="宋体" w:hAnsi="宋体" w:eastAsia="宋体" w:cs="宋体"/>
          <w:b w:val="0"/>
          <w:bCs w:val="0"/>
          <w:color w:val="auto"/>
          <w:sz w:val="24"/>
        </w:rPr>
        <w:t>措施不力，违反安全操作规程致工伤或事故等，采购人有权</w:t>
      </w:r>
      <w:r>
        <w:rPr>
          <w:rFonts w:hint="eastAsia" w:ascii="宋体" w:hAnsi="宋体" w:eastAsia="宋体" w:cs="宋体"/>
          <w:b w:val="0"/>
          <w:bCs w:val="0"/>
          <w:color w:val="auto"/>
          <w:sz w:val="24"/>
          <w:lang w:val="en-US" w:eastAsia="zh-CN"/>
        </w:rPr>
        <w:t>暂</w:t>
      </w:r>
      <w:r>
        <w:rPr>
          <w:rFonts w:hint="eastAsia" w:ascii="宋体" w:hAnsi="宋体" w:eastAsia="宋体" w:cs="宋体"/>
          <w:b w:val="0"/>
          <w:bCs w:val="0"/>
          <w:color w:val="auto"/>
          <w:sz w:val="24"/>
        </w:rPr>
        <w:t>缓支付服务费及追究责任的权利。</w:t>
      </w:r>
    </w:p>
    <w:p>
      <w:pPr>
        <w:spacing w:line="360" w:lineRule="auto"/>
        <w:ind w:firstLine="480" w:firstLineChars="200"/>
        <w:rPr>
          <w:rFonts w:hint="eastAsia" w:ascii="宋体" w:hAnsi="宋体" w:cs="宋体"/>
          <w:color w:val="auto"/>
          <w:sz w:val="24"/>
          <w:highlight w:val="none"/>
        </w:rPr>
      </w:pPr>
      <w:r>
        <w:rPr>
          <w:rFonts w:hint="eastAsia" w:ascii="宋体" w:hAnsi="宋体" w:cs="宋体"/>
          <w:b w:val="0"/>
          <w:bCs w:val="0"/>
          <w:color w:val="auto"/>
          <w:sz w:val="24"/>
          <w:lang w:val="en-US" w:eastAsia="zh-CN"/>
        </w:rPr>
        <w:t>11、</w:t>
      </w:r>
      <w:r>
        <w:rPr>
          <w:rFonts w:hint="eastAsia" w:ascii="宋体" w:hAnsi="宋体" w:eastAsia="宋体" w:cs="宋体"/>
          <w:b w:val="0"/>
          <w:bCs w:val="0"/>
          <w:color w:val="auto"/>
          <w:sz w:val="24"/>
          <w:lang w:val="en-US" w:eastAsia="zh-CN"/>
        </w:rPr>
        <w:t>中标人须</w:t>
      </w:r>
      <w:r>
        <w:rPr>
          <w:rFonts w:hint="eastAsia" w:ascii="宋体" w:hAnsi="宋体" w:cs="宋体"/>
          <w:b w:val="0"/>
          <w:bCs w:val="0"/>
          <w:color w:val="auto"/>
          <w:sz w:val="24"/>
          <w:lang w:val="en-US" w:eastAsia="zh-CN"/>
        </w:rPr>
        <w:t>安排一名巡查专员负责巡查生态浮岛设施运行情况</w:t>
      </w:r>
      <w:r>
        <w:rPr>
          <w:rFonts w:hint="eastAsia" w:ascii="宋体" w:hAnsi="宋体" w:eastAsia="宋体" w:cs="宋体"/>
          <w:b w:val="0"/>
          <w:bCs w:val="0"/>
          <w:color w:val="auto"/>
          <w:sz w:val="24"/>
          <w:lang w:val="en-US" w:eastAsia="zh-CN"/>
        </w:rPr>
        <w:t>，按采购人相关要求上报情况。</w:t>
      </w:r>
    </w:p>
    <w:p>
      <w:pPr>
        <w:spacing w:line="360" w:lineRule="auto"/>
        <w:ind w:firstLine="482" w:firstLineChars="200"/>
        <w:rPr>
          <w:rFonts w:hint="eastAsia" w:ascii="宋体" w:hAnsi="宋体" w:cs="宋体"/>
          <w:b/>
          <w:color w:val="auto"/>
          <w:sz w:val="24"/>
          <w:highlight w:val="none"/>
        </w:rPr>
      </w:pPr>
      <w:r>
        <w:rPr>
          <w:rFonts w:hint="eastAsia" w:ascii="宋体" w:hAnsi="宋体" w:cs="宋体"/>
          <w:b/>
          <w:color w:val="auto"/>
          <w:sz w:val="24"/>
          <w:highlight w:val="none"/>
          <w:lang w:val="en-US" w:eastAsia="zh-CN"/>
        </w:rPr>
        <w:t>七</w:t>
      </w:r>
      <w:r>
        <w:rPr>
          <w:rFonts w:hint="eastAsia" w:ascii="宋体" w:hAnsi="宋体" w:cs="宋体"/>
          <w:b/>
          <w:color w:val="auto"/>
          <w:sz w:val="24"/>
          <w:highlight w:val="none"/>
        </w:rPr>
        <w:t>、日常监督检查和季度考核</w:t>
      </w:r>
    </w:p>
    <w:p>
      <w:pPr>
        <w:tabs>
          <w:tab w:val="left" w:pos="840"/>
        </w:tabs>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对中标人日常服务工作进行监督检查，</w:t>
      </w:r>
      <w:r>
        <w:rPr>
          <w:rFonts w:hint="eastAsia" w:ascii="宋体" w:hAnsi="宋体" w:eastAsia="宋体" w:cs="宋体"/>
          <w:color w:val="auto"/>
          <w:sz w:val="24"/>
          <w:szCs w:val="24"/>
          <w:highlight w:val="none"/>
          <w:lang w:eastAsia="zh-CN"/>
        </w:rPr>
        <w:t>对</w:t>
      </w:r>
      <w:r>
        <w:rPr>
          <w:rFonts w:hint="eastAsia" w:ascii="宋体" w:hAnsi="宋体" w:eastAsia="宋体" w:cs="宋体"/>
          <w:color w:val="auto"/>
          <w:sz w:val="24"/>
          <w:szCs w:val="24"/>
          <w:highlight w:val="none"/>
          <w:lang w:val="en-US" w:eastAsia="zh-CN"/>
        </w:rPr>
        <w:t>存在问题（见附表），采购人有权进行直接扣款，扣款金额在当季度付款时予以扣减。中标人如对扣款有异议的，在收到扣款通知后3个工作日内提交书面解释，逾期未提交视为无异议。采购人根据中标人的书面解释进行复核，如书面解释证据不合理、理由不充分的，则视书面解释无效，维持扣款决定；如书面解释证据合理、理由充分的，方可撤销扣款决定。</w:t>
      </w:r>
    </w:p>
    <w:p>
      <w:pPr>
        <w:tabs>
          <w:tab w:val="left" w:pos="1440"/>
        </w:tabs>
        <w:spacing w:line="360" w:lineRule="auto"/>
        <w:ind w:firstLine="482" w:firstLineChars="200"/>
        <w:rPr>
          <w:rFonts w:hint="eastAsia" w:ascii="宋体" w:hAnsi="宋体" w:eastAsia="宋体" w:cs="宋体"/>
          <w:color w:val="auto"/>
          <w:sz w:val="24"/>
          <w:szCs w:val="24"/>
          <w:lang w:val="en-US" w:eastAsia="zh-CN"/>
        </w:rPr>
      </w:pPr>
      <w:r>
        <w:rPr>
          <w:rFonts w:hint="eastAsia" w:ascii="宋体" w:hAnsi="宋体" w:cs="宋体"/>
          <w:b/>
          <w:bCs/>
          <w:color w:val="auto"/>
          <w:sz w:val="24"/>
          <w:szCs w:val="24"/>
          <w:highlight w:val="none"/>
        </w:rPr>
        <w:t>附表：</w:t>
      </w:r>
      <w:r>
        <w:rPr>
          <w:rFonts w:hint="eastAsia" w:ascii="宋体" w:hAnsi="宋体" w:cs="宋体"/>
          <w:b/>
          <w:bCs/>
          <w:color w:val="auto"/>
          <w:sz w:val="24"/>
          <w:szCs w:val="24"/>
          <w:highlight w:val="none"/>
          <w:lang w:val="en-US" w:eastAsia="zh-CN"/>
        </w:rPr>
        <w:t>日常抽检扣款</w:t>
      </w:r>
      <w:r>
        <w:rPr>
          <w:rFonts w:hint="eastAsia" w:ascii="宋体" w:hAnsi="宋体" w:cs="宋体"/>
          <w:b/>
          <w:bCs/>
          <w:color w:val="auto"/>
          <w:sz w:val="24"/>
          <w:szCs w:val="24"/>
          <w:highlight w:val="none"/>
        </w:rPr>
        <w:t>表</w:t>
      </w:r>
    </w:p>
    <w:tbl>
      <w:tblPr>
        <w:tblStyle w:val="9"/>
        <w:tblW w:w="9264" w:type="dxa"/>
        <w:jc w:val="center"/>
        <w:tblLayout w:type="fixed"/>
        <w:tblCellMar>
          <w:top w:w="0" w:type="dxa"/>
          <w:left w:w="108" w:type="dxa"/>
          <w:bottom w:w="0" w:type="dxa"/>
          <w:right w:w="108" w:type="dxa"/>
        </w:tblCellMar>
      </w:tblPr>
      <w:tblGrid>
        <w:gridCol w:w="779"/>
        <w:gridCol w:w="5157"/>
        <w:gridCol w:w="1683"/>
        <w:gridCol w:w="766"/>
        <w:gridCol w:w="879"/>
      </w:tblGrid>
      <w:tr>
        <w:tblPrEx>
          <w:tblCellMar>
            <w:top w:w="0" w:type="dxa"/>
            <w:left w:w="108" w:type="dxa"/>
            <w:bottom w:w="0" w:type="dxa"/>
            <w:right w:w="108" w:type="dxa"/>
          </w:tblCellMar>
        </w:tblPrEx>
        <w:trPr>
          <w:trHeight w:val="516" w:hRule="atLeast"/>
          <w:jc w:val="center"/>
        </w:trPr>
        <w:tc>
          <w:tcPr>
            <w:tcW w:w="779" w:type="dxa"/>
            <w:tcBorders>
              <w:top w:val="single" w:color="000000" w:sz="8"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b/>
                <w:bCs/>
                <w:color w:val="auto"/>
                <w:szCs w:val="21"/>
              </w:rPr>
            </w:pPr>
            <w:r>
              <w:rPr>
                <w:rFonts w:hint="eastAsia" w:ascii="宋体" w:hAnsi="宋体" w:cs="宋体"/>
                <w:b/>
                <w:bCs/>
                <w:color w:val="auto"/>
                <w:szCs w:val="21"/>
              </w:rPr>
              <w:t>序号</w:t>
            </w:r>
          </w:p>
        </w:tc>
        <w:tc>
          <w:tcPr>
            <w:tcW w:w="5157" w:type="dxa"/>
            <w:tcBorders>
              <w:top w:val="single" w:color="000000" w:sz="8" w:space="0"/>
              <w:left w:val="single" w:color="000000" w:sz="4" w:space="0"/>
              <w:bottom w:val="nil"/>
              <w:right w:val="single" w:color="000000" w:sz="4" w:space="0"/>
            </w:tcBorders>
            <w:noWrap w:val="0"/>
            <w:vAlign w:val="center"/>
          </w:tcPr>
          <w:p>
            <w:pPr>
              <w:widowControl/>
              <w:spacing w:line="240" w:lineRule="auto"/>
              <w:ind w:firstLine="0"/>
              <w:jc w:val="center"/>
              <w:rPr>
                <w:rFonts w:hint="eastAsia" w:ascii="宋体" w:hAnsi="宋体" w:cs="宋体"/>
                <w:b/>
                <w:bCs/>
                <w:color w:val="auto"/>
                <w:szCs w:val="21"/>
              </w:rPr>
            </w:pPr>
            <w:r>
              <w:rPr>
                <w:rFonts w:hint="eastAsia" w:ascii="宋体" w:hAnsi="宋体" w:cs="宋体"/>
                <w:b/>
                <w:bCs/>
                <w:color w:val="auto"/>
                <w:szCs w:val="21"/>
              </w:rPr>
              <w:t>存在问题</w:t>
            </w:r>
          </w:p>
        </w:tc>
        <w:tc>
          <w:tcPr>
            <w:tcW w:w="1683" w:type="dxa"/>
            <w:tcBorders>
              <w:top w:val="single" w:color="000000" w:sz="8" w:space="0"/>
              <w:left w:val="single" w:color="000000" w:sz="4" w:space="0"/>
              <w:bottom w:val="nil"/>
              <w:right w:val="single" w:color="000000" w:sz="4" w:space="0"/>
            </w:tcBorders>
            <w:noWrap w:val="0"/>
            <w:vAlign w:val="center"/>
          </w:tcPr>
          <w:p>
            <w:pPr>
              <w:widowControl/>
              <w:spacing w:line="240" w:lineRule="auto"/>
              <w:jc w:val="center"/>
              <w:rPr>
                <w:rFonts w:hint="eastAsia" w:ascii="宋体" w:hAnsi="宋体" w:cs="宋体"/>
                <w:b/>
                <w:bCs/>
                <w:color w:val="auto"/>
                <w:szCs w:val="21"/>
              </w:rPr>
            </w:pPr>
            <w:r>
              <w:rPr>
                <w:rFonts w:hint="eastAsia" w:ascii="宋体" w:hAnsi="宋体" w:cs="宋体"/>
                <w:b/>
                <w:bCs/>
                <w:color w:val="auto"/>
                <w:szCs w:val="21"/>
              </w:rPr>
              <w:t>扣款标准</w:t>
            </w:r>
          </w:p>
        </w:tc>
        <w:tc>
          <w:tcPr>
            <w:tcW w:w="766" w:type="dxa"/>
            <w:tcBorders>
              <w:top w:val="single" w:color="000000" w:sz="8" w:space="0"/>
              <w:left w:val="single" w:color="000000" w:sz="4" w:space="0"/>
              <w:bottom w:val="nil"/>
              <w:right w:val="single" w:color="000000" w:sz="4" w:space="0"/>
            </w:tcBorders>
            <w:noWrap w:val="0"/>
            <w:vAlign w:val="center"/>
          </w:tcPr>
          <w:p>
            <w:pPr>
              <w:widowControl/>
              <w:spacing w:line="240" w:lineRule="auto"/>
              <w:jc w:val="center"/>
              <w:rPr>
                <w:rFonts w:hint="eastAsia" w:ascii="宋体" w:hAnsi="宋体" w:cs="宋体"/>
                <w:b/>
                <w:bCs/>
                <w:color w:val="auto"/>
                <w:szCs w:val="21"/>
              </w:rPr>
            </w:pPr>
            <w:r>
              <w:rPr>
                <w:rFonts w:hint="eastAsia" w:ascii="宋体" w:hAnsi="宋体" w:cs="宋体"/>
                <w:b/>
                <w:bCs/>
                <w:color w:val="auto"/>
                <w:szCs w:val="21"/>
              </w:rPr>
              <w:t>扣款</w:t>
            </w:r>
          </w:p>
        </w:tc>
        <w:tc>
          <w:tcPr>
            <w:tcW w:w="879" w:type="dxa"/>
            <w:tcBorders>
              <w:top w:val="single" w:color="000000" w:sz="8" w:space="0"/>
              <w:left w:val="single" w:color="000000" w:sz="4" w:space="0"/>
              <w:bottom w:val="nil"/>
              <w:right w:val="single" w:color="000000" w:sz="4" w:space="0"/>
            </w:tcBorders>
            <w:noWrap w:val="0"/>
            <w:vAlign w:val="center"/>
          </w:tcPr>
          <w:p>
            <w:pPr>
              <w:widowControl/>
              <w:spacing w:line="240" w:lineRule="auto"/>
              <w:ind w:firstLine="0" w:firstLineChars="0"/>
              <w:jc w:val="center"/>
              <w:rPr>
                <w:rFonts w:hint="eastAsia" w:ascii="宋体" w:hAnsi="宋体" w:cs="宋体"/>
                <w:b/>
                <w:bCs/>
                <w:color w:val="auto"/>
                <w:szCs w:val="21"/>
              </w:rPr>
            </w:pPr>
            <w:r>
              <w:rPr>
                <w:rFonts w:hint="eastAsia" w:ascii="宋体" w:hAnsi="宋体" w:cs="宋体"/>
                <w:b/>
                <w:bCs/>
                <w:color w:val="auto"/>
                <w:szCs w:val="21"/>
              </w:rPr>
              <w:t>备注</w:t>
            </w: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因维护不到位被媒体曝光、刊登。</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20000元/次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2</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因维护不到位被上级点名批评（包括书面、微信、电话、粤政易等形式通知)。</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30000元/次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3</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因维护不到位被群众举报、12345投诉、网格投诉。</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5000元/次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4</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未按甲方要求时间完成应急任务。</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50000元/次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5</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未按甲方要求时间上报资料，以甲方书面、微信、短信、粤政易等方式通知为准。</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10000元/次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6</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整改报告未按甲方要求时间提交或一次整改未达到甲方要求，以甲方发出整改督办函为准。</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20000元/次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7</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发出整改督办函后整改仍未达到甲方要求或拒绝整改。</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30000元/次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90"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8</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整改两次后仍未达到甲方要求，绿化问题按100元/㎡扣除服务费，保洁问题按50元/㎡扣除服务费</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按实际数量扣款</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4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9</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绿化被非法侵占、破坏，在甲方发现前未报告并未制止处理。</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20000元/次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Cs w:val="21"/>
              </w:rPr>
            </w:pPr>
          </w:p>
        </w:tc>
      </w:tr>
      <w:tr>
        <w:tblPrEx>
          <w:tblCellMar>
            <w:top w:w="0" w:type="dxa"/>
            <w:left w:w="108" w:type="dxa"/>
            <w:bottom w:w="0" w:type="dxa"/>
            <w:right w:w="108" w:type="dxa"/>
          </w:tblCellMar>
        </w:tblPrEx>
        <w:trPr>
          <w:trHeight w:val="90"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10</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widowControl/>
              <w:autoSpaceDN w:val="0"/>
              <w:spacing w:line="240" w:lineRule="auto"/>
              <w:jc w:val="both"/>
              <w:textAlignment w:val="center"/>
              <w:rPr>
                <w:rFonts w:hint="eastAsia" w:ascii="宋体" w:hAnsi="宋体" w:cs="宋体"/>
                <w:szCs w:val="21"/>
              </w:rPr>
            </w:pPr>
            <w:r>
              <w:rPr>
                <w:rFonts w:hint="eastAsia" w:ascii="宋体" w:hAnsi="宋体" w:cs="宋体"/>
                <w:szCs w:val="21"/>
              </w:rPr>
              <w:t>拖欠工人工资以致发生工人停工、集聚围堵等过激行动或者拖欠工人工资被工人投诉属实。</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40000元/次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90"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11</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widowControl/>
              <w:autoSpaceDN w:val="0"/>
              <w:spacing w:line="240" w:lineRule="auto"/>
              <w:jc w:val="both"/>
              <w:textAlignment w:val="center"/>
              <w:rPr>
                <w:rFonts w:hint="eastAsia" w:ascii="宋体" w:hAnsi="宋体" w:cs="宋体"/>
                <w:szCs w:val="21"/>
              </w:rPr>
            </w:pPr>
            <w:r>
              <w:rPr>
                <w:rFonts w:hint="eastAsia" w:ascii="宋体" w:hAnsi="宋体" w:cs="宋体"/>
                <w:szCs w:val="21"/>
              </w:rPr>
              <w:t>经甲方检查发现未按国家、省、市、区文件要求做好安全生产、文明施工相关措施。</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10000元/次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319"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12</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widowControl/>
              <w:spacing w:line="240" w:lineRule="auto"/>
              <w:jc w:val="both"/>
              <w:rPr>
                <w:rFonts w:hint="eastAsia" w:ascii="宋体" w:hAnsi="宋体" w:cs="宋体"/>
                <w:szCs w:val="21"/>
              </w:rPr>
            </w:pPr>
            <w:r>
              <w:rPr>
                <w:rFonts w:hint="eastAsia" w:ascii="宋体" w:hAnsi="宋体" w:cs="宋体"/>
                <w:szCs w:val="21"/>
              </w:rPr>
              <w:t>每次现场检查发现未按合同要求安排足够人员进行绿化修剪、除草、施肥、淋水等养护和保洁工作，按每缺1人。</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1000元/人.次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p>
        </w:tc>
      </w:tr>
      <w:tr>
        <w:tblPrEx>
          <w:tblCellMar>
            <w:top w:w="0" w:type="dxa"/>
            <w:left w:w="108" w:type="dxa"/>
            <w:bottom w:w="0" w:type="dxa"/>
            <w:right w:w="108" w:type="dxa"/>
          </w:tblCellMar>
        </w:tblPrEx>
        <w:trPr>
          <w:trHeight w:val="319"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13</w:t>
            </w:r>
          </w:p>
        </w:tc>
        <w:tc>
          <w:tcPr>
            <w:tcW w:w="5157" w:type="dxa"/>
            <w:tcBorders>
              <w:top w:val="single" w:color="000000" w:sz="4" w:space="0"/>
              <w:left w:val="single" w:color="000000" w:sz="4" w:space="0"/>
              <w:bottom w:val="single" w:color="000000" w:sz="8" w:space="0"/>
              <w:right w:val="single" w:color="000000" w:sz="4" w:space="0"/>
            </w:tcBorders>
            <w:noWrap w:val="0"/>
            <w:vAlign w:val="center"/>
          </w:tcPr>
          <w:p>
            <w:pPr>
              <w:widowControl/>
              <w:spacing w:line="240" w:lineRule="auto"/>
              <w:jc w:val="both"/>
              <w:rPr>
                <w:rFonts w:hint="eastAsia" w:ascii="宋体" w:hAnsi="宋体" w:cs="宋体"/>
                <w:szCs w:val="21"/>
              </w:rPr>
            </w:pPr>
            <w:r>
              <w:rPr>
                <w:rFonts w:hint="eastAsia" w:ascii="宋体" w:hAnsi="宋体" w:cs="宋体"/>
                <w:szCs w:val="21"/>
              </w:rPr>
              <w:t>收到会议通知后，未按甲方要求时间到达会议现场。</w:t>
            </w:r>
          </w:p>
        </w:tc>
        <w:tc>
          <w:tcPr>
            <w:tcW w:w="1683"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1000元/次</w:t>
            </w:r>
          </w:p>
        </w:tc>
        <w:tc>
          <w:tcPr>
            <w:tcW w:w="766"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p>
        </w:tc>
        <w:tc>
          <w:tcPr>
            <w:tcW w:w="879" w:type="dxa"/>
            <w:tcBorders>
              <w:top w:val="single" w:color="000000" w:sz="8"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宋体" w:hAnsi="宋体" w:cs="宋体"/>
                <w:szCs w:val="21"/>
              </w:rPr>
            </w:pPr>
          </w:p>
        </w:tc>
      </w:tr>
      <w:tr>
        <w:tblPrEx>
          <w:tblCellMar>
            <w:top w:w="0" w:type="dxa"/>
            <w:left w:w="108" w:type="dxa"/>
            <w:bottom w:w="0" w:type="dxa"/>
            <w:right w:w="108" w:type="dxa"/>
          </w:tblCellMar>
        </w:tblPrEx>
        <w:trPr>
          <w:trHeight w:val="53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cs="宋体"/>
                <w:szCs w:val="21"/>
              </w:rPr>
            </w:pPr>
            <w:r>
              <w:rPr>
                <w:rFonts w:hint="eastAsia" w:ascii="宋体" w:hAnsi="宋体" w:cs="宋体"/>
                <w:szCs w:val="21"/>
              </w:rPr>
              <w:t>14</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both"/>
              <w:rPr>
                <w:rFonts w:hint="eastAsia" w:ascii="宋体" w:hAnsi="宋体" w:cs="宋体"/>
                <w:szCs w:val="21"/>
              </w:rPr>
            </w:pPr>
            <w:r>
              <w:rPr>
                <w:rFonts w:hint="eastAsia" w:ascii="宋体" w:hAnsi="宋体" w:cs="宋体"/>
                <w:szCs w:val="21"/>
              </w:rPr>
              <w:t>收到会议通知后，拒绝参加会议。</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r>
              <w:rPr>
                <w:rFonts w:hint="eastAsia" w:ascii="宋体" w:hAnsi="宋体" w:cs="宋体"/>
                <w:szCs w:val="21"/>
              </w:rPr>
              <w:t>10000元/次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15</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未按合同要求投入相应数量的设备。</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宋体" w:hAnsi="宋体" w:cs="宋体"/>
                <w:szCs w:val="21"/>
                <w:lang w:val="en-US" w:eastAsia="zh-CN"/>
              </w:rPr>
            </w:pPr>
            <w:r>
              <w:rPr>
                <w:rFonts w:hint="eastAsia" w:ascii="宋体" w:hAnsi="宋体" w:cs="宋体"/>
                <w:szCs w:val="21"/>
                <w:lang w:val="en-US" w:eastAsia="zh-CN"/>
              </w:rPr>
              <w:t>按设备实际价格的双倍扣款</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16</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kern w:val="0"/>
                <w:szCs w:val="21"/>
              </w:rPr>
            </w:pPr>
            <w:r>
              <w:rPr>
                <w:rFonts w:hint="eastAsia" w:ascii="宋体" w:hAnsi="宋体" w:cs="宋体"/>
                <w:kern w:val="0"/>
                <w:szCs w:val="21"/>
              </w:rPr>
              <w:t>未按甲方要求上报水利设施损坏、水质异常等现象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szCs w:val="21"/>
                <w:lang w:val="en-US" w:eastAsia="zh-CN"/>
              </w:rPr>
              <w:t>10000</w:t>
            </w:r>
            <w:r>
              <w:rPr>
                <w:rFonts w:hint="eastAsia" w:ascii="宋体" w:hAnsi="宋体" w:cs="宋体"/>
                <w:szCs w:val="21"/>
              </w:rPr>
              <w:t>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17</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kern w:val="0"/>
                <w:szCs w:val="21"/>
              </w:rPr>
            </w:pPr>
            <w:r>
              <w:rPr>
                <w:rFonts w:hint="eastAsia" w:ascii="宋体" w:hAnsi="宋体" w:cs="宋体"/>
                <w:kern w:val="0"/>
                <w:szCs w:val="21"/>
              </w:rPr>
              <w:t>未按甲方要求上报河道管理范围违法行为</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szCs w:val="21"/>
              </w:rPr>
              <w:t>15000元/次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18</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kern w:val="0"/>
                <w:szCs w:val="21"/>
              </w:rPr>
            </w:pPr>
            <w:r>
              <w:rPr>
                <w:rFonts w:hint="eastAsia" w:ascii="宋体" w:hAnsi="宋体" w:cs="宋体"/>
                <w:kern w:val="0"/>
                <w:szCs w:val="21"/>
              </w:rPr>
              <w:t>未按甲方要求对涉河建设项目进行监管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szCs w:val="21"/>
              </w:rPr>
              <w:t>15000元/次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19</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未按合同要求履行安保管理服务工作</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szCs w:val="21"/>
              </w:rPr>
              <w:t>15000元/次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20</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default" w:ascii="宋体" w:hAnsi="宋体" w:cs="宋体"/>
                <w:kern w:val="0"/>
                <w:szCs w:val="21"/>
                <w:lang w:val="en-US" w:eastAsia="zh-CN"/>
              </w:rPr>
            </w:pPr>
            <w:r>
              <w:rPr>
                <w:rFonts w:hint="eastAsia" w:ascii="宋体" w:hAnsi="宋体" w:cs="宋体"/>
                <w:kern w:val="0"/>
                <w:szCs w:val="21"/>
                <w:lang w:val="en-US" w:eastAsia="zh-CN"/>
              </w:rPr>
              <w:t>未按合同要求做好河涌水闸安全运行工作</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szCs w:val="21"/>
              </w:rPr>
              <w:t>15000元/次</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687"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21</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普通树木死亡或缺株（名贵树木死亡或缺株按该树木实际价格双倍进行扣款）。</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800元/棵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22</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树木有折损枝、过密枝、枯枝、病虫枝，树身有萌蘖的，树木叶片枯黄</w:t>
            </w:r>
            <w:r>
              <w:rPr>
                <w:rFonts w:hint="eastAsia" w:ascii="宋体" w:hAnsi="宋体" w:cs="宋体"/>
                <w:szCs w:val="21"/>
              </w:rPr>
              <w:t>（落叶树种生理落叶期除外）</w:t>
            </w:r>
            <w:r>
              <w:rPr>
                <w:rFonts w:hint="eastAsia" w:ascii="宋体" w:hAnsi="宋体" w:cs="宋体"/>
                <w:kern w:val="0"/>
                <w:szCs w:val="21"/>
              </w:rPr>
              <w:t>或者出现萎蔫现象。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300元/棵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23</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乔木树穴没有松土、除杂草。</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200元/棵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24</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未经甲方同意对树木重度修剪而影响景观效果的。</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200元/棵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25</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乔木倾斜、倒伏未按甲方要求扶正或支撑。</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200元/棵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26</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树枝因养护不到位危及行人通行安全。</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200元/棵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27</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widowControl/>
              <w:jc w:val="both"/>
              <w:textAlignment w:val="center"/>
              <w:rPr>
                <w:rFonts w:hint="eastAsia" w:ascii="宋体" w:hAnsi="宋体" w:cs="宋体"/>
                <w:szCs w:val="21"/>
              </w:rPr>
            </w:pPr>
            <w:r>
              <w:rPr>
                <w:rFonts w:hint="eastAsia" w:ascii="宋体" w:hAnsi="宋体" w:cs="宋体"/>
                <w:kern w:val="0"/>
                <w:szCs w:val="21"/>
              </w:rPr>
              <w:t>乔木每年冬季未按甲方要求涂白。</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100元/棵</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28</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灌木绿篱（球型和片植）死亡或缺株</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300元</w:t>
            </w:r>
            <w:r>
              <w:rPr>
                <w:rFonts w:hint="eastAsia" w:ascii="宋体" w:hAnsi="宋体" w:cs="宋体"/>
                <w:szCs w:val="21"/>
              </w:rPr>
              <w:t>/</w:t>
            </w:r>
            <w:r>
              <w:rPr>
                <w:rFonts w:hint="eastAsia" w:ascii="宋体" w:hAnsi="宋体" w:cs="宋体"/>
                <w:kern w:val="0"/>
                <w:szCs w:val="21"/>
              </w:rPr>
              <w:t>棵</w:t>
            </w:r>
            <w:r>
              <w:rPr>
                <w:rFonts w:hint="eastAsia" w:ascii="宋体" w:hAnsi="宋体" w:cs="宋体"/>
                <w:szCs w:val="21"/>
              </w:rPr>
              <w:t>（丛）</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29</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灌木绿篱叶片枯黄（落叶树种生理落叶期除外）或者出现萎蔫现象。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150元</w:t>
            </w:r>
            <w:r>
              <w:rPr>
                <w:rFonts w:hint="eastAsia" w:ascii="宋体" w:hAnsi="宋体" w:cs="宋体"/>
                <w:szCs w:val="21"/>
              </w:rPr>
              <w:t>/</w:t>
            </w:r>
            <w:r>
              <w:rPr>
                <w:rFonts w:hint="eastAsia" w:ascii="宋体" w:hAnsi="宋体" w:cs="宋体"/>
                <w:kern w:val="0"/>
                <w:szCs w:val="21"/>
              </w:rPr>
              <w:t>棵</w:t>
            </w:r>
            <w:r>
              <w:rPr>
                <w:rFonts w:hint="eastAsia" w:ascii="宋体" w:hAnsi="宋体" w:cs="宋体"/>
                <w:szCs w:val="21"/>
              </w:rPr>
              <w:t>（丛）</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30</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灌木绿篱树穴没有松土、除杂草。</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100元</w:t>
            </w:r>
            <w:r>
              <w:rPr>
                <w:rFonts w:hint="eastAsia" w:ascii="宋体" w:hAnsi="宋体" w:cs="宋体"/>
                <w:szCs w:val="21"/>
              </w:rPr>
              <w:t>/</w:t>
            </w:r>
            <w:r>
              <w:rPr>
                <w:rFonts w:hint="eastAsia" w:ascii="宋体" w:hAnsi="宋体" w:cs="宋体"/>
                <w:kern w:val="0"/>
                <w:szCs w:val="21"/>
              </w:rPr>
              <w:t>棵</w:t>
            </w:r>
            <w:r>
              <w:rPr>
                <w:rFonts w:hint="eastAsia" w:ascii="宋体" w:hAnsi="宋体" w:cs="宋体"/>
                <w:szCs w:val="21"/>
              </w:rPr>
              <w:t>（丛）</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31</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灌木绿篱未按甲方要求修剪。</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100元</w:t>
            </w:r>
            <w:r>
              <w:rPr>
                <w:rFonts w:hint="eastAsia" w:ascii="宋体" w:hAnsi="宋体" w:cs="宋体"/>
                <w:szCs w:val="21"/>
              </w:rPr>
              <w:t>/</w:t>
            </w:r>
            <w:r>
              <w:rPr>
                <w:rFonts w:hint="eastAsia" w:ascii="宋体" w:hAnsi="宋体" w:cs="宋体"/>
                <w:kern w:val="0"/>
                <w:szCs w:val="21"/>
              </w:rPr>
              <w:t>棵</w:t>
            </w:r>
            <w:r>
              <w:rPr>
                <w:rFonts w:hint="eastAsia" w:ascii="宋体" w:hAnsi="宋体" w:cs="宋体"/>
                <w:szCs w:val="21"/>
              </w:rPr>
              <w:t>（丛）</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32</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草坪裸露（不可抗力因素导致的除外）</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100元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33</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草皮叶色枯黄、长势不良或者出现萎蔫现象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50元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34</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草地平均高度超过10厘米以上、澎蜞菊高度超过25厘米以上的或草皮生长至人行道的。</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kern w:val="0"/>
                <w:szCs w:val="21"/>
              </w:rPr>
              <w:t>50元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35</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修剪下来的枝条、树干、残枝未清运。</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30元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36</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灌木绿篱、草坪、水生植物等有杂草、枯枝败叶、垃圾杂物、余泥、砖石、瓦渣等。</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50元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rPr>
              <w:t>37</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人行道以及园建道路有枯枝败叶、垃圾杂物、余泥、砖石、瓦渣等。</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50元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38</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szCs w:val="21"/>
              </w:rPr>
            </w:pPr>
            <w:r>
              <w:rPr>
                <w:rFonts w:hint="eastAsia" w:ascii="宋体" w:hAnsi="宋体"/>
                <w:szCs w:val="21"/>
              </w:rPr>
              <w:t>水生植物</w:t>
            </w:r>
            <w:r>
              <w:rPr>
                <w:rFonts w:hint="eastAsia" w:ascii="宋体" w:hAnsi="宋体" w:cs="宋体"/>
                <w:kern w:val="0"/>
                <w:szCs w:val="21"/>
              </w:rPr>
              <w:t>死亡或缺株</w:t>
            </w:r>
            <w:r>
              <w:rPr>
                <w:rFonts w:hint="eastAsia" w:ascii="宋体" w:hAnsi="宋体"/>
                <w:szCs w:val="21"/>
              </w:rPr>
              <w:t>。</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szCs w:val="21"/>
              </w:rPr>
            </w:pPr>
            <w:r>
              <w:rPr>
                <w:rFonts w:hint="eastAsia" w:ascii="宋体" w:hAnsi="宋体" w:cs="宋体"/>
                <w:kern w:val="0"/>
                <w:szCs w:val="21"/>
              </w:rPr>
              <w:t>200元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default" w:ascii="宋体" w:hAnsi="宋体" w:eastAsia="宋体" w:cs="宋体"/>
                <w:kern w:val="2"/>
                <w:sz w:val="21"/>
                <w:szCs w:val="21"/>
                <w:lang w:val="en-US" w:eastAsia="zh-CN" w:bidi="ar-SA"/>
              </w:rPr>
            </w:pPr>
            <w:r>
              <w:rPr>
                <w:rFonts w:hint="eastAsia" w:ascii="宋体" w:hAnsi="宋体" w:cs="宋体"/>
                <w:szCs w:val="21"/>
                <w:lang w:val="en-US" w:eastAsia="zh-CN"/>
              </w:rPr>
              <w:t>39</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cs="宋体"/>
                <w:szCs w:val="21"/>
              </w:rPr>
              <w:t>水生植物叶色枯黄、长势不良或者出现萎蔫现象。</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kern w:val="0"/>
                <w:szCs w:val="21"/>
              </w:rPr>
              <w:t>100元</w:t>
            </w:r>
            <w:r>
              <w:rPr>
                <w:rFonts w:hint="eastAsia" w:ascii="宋体" w:hAnsi="宋体" w:cs="宋体"/>
                <w:szCs w:val="21"/>
              </w:rPr>
              <w:t>/</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default" w:ascii="宋体" w:hAnsi="宋体" w:cs="宋体"/>
                <w:szCs w:val="21"/>
                <w:lang w:val="en-US"/>
              </w:rPr>
            </w:pPr>
            <w:r>
              <w:rPr>
                <w:rFonts w:hint="eastAsia" w:ascii="宋体" w:hAnsi="宋体" w:cs="宋体"/>
                <w:szCs w:val="21"/>
                <w:lang w:val="en-US" w:eastAsia="zh-CN"/>
              </w:rPr>
              <w:t>40</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eastAsia" w:ascii="宋体" w:hAnsi="宋体" w:cs="宋体"/>
                <w:szCs w:val="21"/>
              </w:rPr>
            </w:pPr>
            <w:r>
              <w:rPr>
                <w:rFonts w:hint="eastAsia" w:ascii="宋体" w:hAnsi="宋体"/>
                <w:szCs w:val="21"/>
              </w:rPr>
              <w:t>水生植物未按要求进行修剪。</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kern w:val="0"/>
                <w:szCs w:val="21"/>
              </w:rPr>
            </w:pPr>
            <w:r>
              <w:rPr>
                <w:rFonts w:hint="eastAsia" w:ascii="宋体" w:hAnsi="宋体" w:cs="宋体"/>
                <w:szCs w:val="21"/>
              </w:rPr>
              <w:t>75元/</w:t>
            </w:r>
            <w:r>
              <w:rPr>
                <w:rFonts w:hint="eastAsia" w:ascii="宋体" w:hAnsi="宋体" w:cs="宋体"/>
                <w:kern w:val="0"/>
                <w:szCs w:val="21"/>
              </w:rPr>
              <w:t>㎡</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779" w:type="dxa"/>
            <w:tcBorders>
              <w:top w:val="single" w:color="auto" w:sz="4" w:space="0"/>
              <w:left w:val="single" w:color="000000" w:sz="8" w:space="0"/>
              <w:bottom w:val="single" w:color="auto" w:sz="4" w:space="0"/>
              <w:right w:val="single" w:color="000000" w:sz="4" w:space="0"/>
            </w:tcBorders>
            <w:noWrap w:val="0"/>
            <w:vAlign w:val="center"/>
          </w:tcPr>
          <w:p>
            <w:pPr>
              <w:widowControl/>
              <w:spacing w:line="240" w:lineRule="auto"/>
              <w:jc w:val="center"/>
              <w:rPr>
                <w:rFonts w:hint="default" w:ascii="宋体" w:hAnsi="宋体" w:cs="宋体"/>
                <w:szCs w:val="21"/>
                <w:lang w:val="en-US" w:eastAsia="zh-CN"/>
              </w:rPr>
            </w:pPr>
            <w:r>
              <w:rPr>
                <w:rFonts w:hint="eastAsia" w:ascii="宋体" w:hAnsi="宋体" w:cs="宋体"/>
                <w:szCs w:val="21"/>
                <w:lang w:val="en-US" w:eastAsia="zh-CN"/>
              </w:rPr>
              <w:t>41</w:t>
            </w:r>
          </w:p>
        </w:tc>
        <w:tc>
          <w:tcPr>
            <w:tcW w:w="5157" w:type="dxa"/>
            <w:tcBorders>
              <w:top w:val="single" w:color="auto" w:sz="4" w:space="0"/>
              <w:left w:val="single" w:color="000000" w:sz="4" w:space="0"/>
              <w:bottom w:val="single" w:color="auto" w:sz="4" w:space="0"/>
              <w:right w:val="single" w:color="000000" w:sz="4" w:space="0"/>
            </w:tcBorders>
            <w:noWrap w:val="0"/>
            <w:vAlign w:val="center"/>
          </w:tcPr>
          <w:p>
            <w:pPr>
              <w:jc w:val="both"/>
              <w:rPr>
                <w:rFonts w:hint="default" w:ascii="宋体" w:hAnsi="宋体" w:eastAsia="宋体"/>
                <w:szCs w:val="21"/>
                <w:lang w:val="en-US" w:eastAsia="zh-CN"/>
              </w:rPr>
            </w:pPr>
            <w:r>
              <w:rPr>
                <w:rFonts w:hint="eastAsia" w:ascii="宋体" w:hAnsi="宋体"/>
                <w:szCs w:val="21"/>
                <w:lang w:val="en-US" w:eastAsia="zh-CN"/>
              </w:rPr>
              <w:t>未按采购人要求的时间和内容提交巡查情况。</w:t>
            </w:r>
          </w:p>
        </w:tc>
        <w:tc>
          <w:tcPr>
            <w:tcW w:w="168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500元/项</w:t>
            </w:r>
          </w:p>
        </w:tc>
        <w:tc>
          <w:tcPr>
            <w:tcW w:w="766"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c>
          <w:tcPr>
            <w:tcW w:w="879" w:type="dxa"/>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73" w:hRule="atLeast"/>
          <w:jc w:val="center"/>
        </w:trPr>
        <w:tc>
          <w:tcPr>
            <w:tcW w:w="5936" w:type="dxa"/>
            <w:gridSpan w:val="2"/>
            <w:tcBorders>
              <w:top w:val="single" w:color="auto" w:sz="4" w:space="0"/>
              <w:left w:val="single" w:color="000000" w:sz="8" w:space="0"/>
              <w:bottom w:val="single" w:color="auto" w:sz="4" w:space="0"/>
              <w:right w:val="single" w:color="000000" w:sz="4" w:space="0"/>
            </w:tcBorders>
            <w:noWrap w:val="0"/>
            <w:vAlign w:val="center"/>
          </w:tcPr>
          <w:p>
            <w:pPr>
              <w:widowControl/>
              <w:autoSpaceDN w:val="0"/>
              <w:spacing w:line="240" w:lineRule="auto"/>
              <w:jc w:val="both"/>
              <w:textAlignment w:val="center"/>
              <w:rPr>
                <w:rFonts w:hint="eastAsia" w:ascii="宋体" w:hAnsi="宋体" w:cs="宋体"/>
                <w:szCs w:val="21"/>
              </w:rPr>
            </w:pPr>
            <w:r>
              <w:rPr>
                <w:rFonts w:hint="eastAsia" w:ascii="宋体" w:hAnsi="宋体" w:cs="宋体"/>
                <w:szCs w:val="21"/>
              </w:rPr>
              <w:t>甲方经办人（签名）确认：</w:t>
            </w:r>
          </w:p>
          <w:p>
            <w:pPr>
              <w:widowControl/>
              <w:autoSpaceDN w:val="0"/>
              <w:spacing w:line="240" w:lineRule="auto"/>
              <w:jc w:val="both"/>
              <w:textAlignment w:val="center"/>
              <w:rPr>
                <w:rFonts w:hint="eastAsia" w:ascii="宋体" w:hAnsi="宋体" w:cs="宋体"/>
                <w:szCs w:val="21"/>
              </w:rPr>
            </w:pPr>
          </w:p>
          <w:p>
            <w:pPr>
              <w:widowControl/>
              <w:autoSpaceDN w:val="0"/>
              <w:spacing w:line="240" w:lineRule="auto"/>
              <w:jc w:val="both"/>
              <w:textAlignment w:val="center"/>
              <w:rPr>
                <w:rFonts w:hint="eastAsia" w:ascii="宋体" w:hAnsi="宋体" w:cs="宋体"/>
                <w:szCs w:val="21"/>
              </w:rPr>
            </w:pPr>
            <w:r>
              <w:rPr>
                <w:rFonts w:hint="eastAsia" w:ascii="宋体" w:hAnsi="宋体" w:cs="宋体"/>
                <w:szCs w:val="21"/>
              </w:rPr>
              <w:t>日期：</w:t>
            </w:r>
          </w:p>
        </w:tc>
        <w:tc>
          <w:tcPr>
            <w:tcW w:w="3328" w:type="dxa"/>
            <w:gridSpan w:val="3"/>
            <w:tcBorders>
              <w:top w:val="single" w:color="auto" w:sz="4" w:space="0"/>
              <w:left w:val="single" w:color="000000" w:sz="4" w:space="0"/>
              <w:bottom w:val="single" w:color="auto" w:sz="4" w:space="0"/>
              <w:right w:val="single" w:color="000000" w:sz="4" w:space="0"/>
            </w:tcBorders>
            <w:noWrap w:val="0"/>
            <w:vAlign w:val="center"/>
          </w:tcPr>
          <w:p>
            <w:pPr>
              <w:widowControl/>
              <w:autoSpaceDN w:val="0"/>
              <w:spacing w:line="240" w:lineRule="auto"/>
              <w:jc w:val="left"/>
              <w:textAlignment w:val="center"/>
              <w:rPr>
                <w:rFonts w:hint="eastAsia" w:ascii="宋体" w:hAnsi="宋体" w:cs="宋体"/>
                <w:szCs w:val="21"/>
              </w:rPr>
            </w:pPr>
            <w:r>
              <w:rPr>
                <w:rFonts w:hint="eastAsia" w:ascii="宋体" w:hAnsi="宋体" w:cs="宋体"/>
                <w:szCs w:val="21"/>
              </w:rPr>
              <w:t>乙方经办人（签名）确认：</w:t>
            </w:r>
          </w:p>
          <w:p>
            <w:pPr>
              <w:widowControl/>
              <w:autoSpaceDN w:val="0"/>
              <w:spacing w:line="240" w:lineRule="auto"/>
              <w:jc w:val="left"/>
              <w:textAlignment w:val="center"/>
              <w:rPr>
                <w:rFonts w:hint="eastAsia" w:ascii="宋体" w:hAnsi="宋体" w:cs="宋体"/>
                <w:szCs w:val="21"/>
              </w:rPr>
            </w:pPr>
          </w:p>
          <w:p>
            <w:pPr>
              <w:widowControl/>
              <w:autoSpaceDN w:val="0"/>
              <w:spacing w:line="240" w:lineRule="auto"/>
              <w:textAlignment w:val="center"/>
              <w:rPr>
                <w:rFonts w:hint="eastAsia" w:ascii="宋体" w:hAnsi="宋体" w:cs="宋体"/>
                <w:szCs w:val="21"/>
              </w:rPr>
            </w:pPr>
            <w:r>
              <w:rPr>
                <w:rFonts w:hint="eastAsia" w:ascii="宋体" w:hAnsi="宋体" w:cs="宋体"/>
                <w:szCs w:val="21"/>
              </w:rPr>
              <w:t>日期：</w:t>
            </w:r>
          </w:p>
        </w:tc>
      </w:tr>
    </w:tbl>
    <w:p>
      <w:pPr>
        <w:spacing w:line="360" w:lineRule="auto"/>
        <w:ind w:firstLine="0" w:firstLineChars="0"/>
        <w:rPr>
          <w:color w:val="auto"/>
          <w:highlight w:val="none"/>
        </w:rPr>
      </w:pPr>
    </w:p>
    <w:p>
      <w:pPr>
        <w:widowControl/>
        <w:numPr>
          <w:ilvl w:val="0"/>
          <w:numId w:val="0"/>
        </w:numPr>
        <w:tabs>
          <w:tab w:val="left" w:pos="840"/>
        </w:tabs>
        <w:spacing w:line="360" w:lineRule="auto"/>
        <w:ind w:left="0" w:firstLine="482" w:firstLineChars="200"/>
        <w:jc w:val="left"/>
        <w:rPr>
          <w:rFonts w:hint="eastAsia" w:ascii="宋体" w:hAnsi="宋体" w:cs="Arial"/>
          <w:b/>
          <w:color w:val="auto"/>
          <w:sz w:val="24"/>
          <w:szCs w:val="24"/>
          <w:highlight w:val="none"/>
        </w:rPr>
      </w:pPr>
    </w:p>
    <w:p>
      <w:pPr>
        <w:widowControl/>
        <w:numPr>
          <w:ilvl w:val="0"/>
          <w:numId w:val="0"/>
        </w:numPr>
        <w:tabs>
          <w:tab w:val="left" w:pos="840"/>
        </w:tabs>
        <w:spacing w:line="360" w:lineRule="auto"/>
        <w:ind w:left="0" w:firstLine="482" w:firstLineChars="200"/>
        <w:jc w:val="left"/>
        <w:rPr>
          <w:rFonts w:hint="eastAsia" w:ascii="宋体" w:hAnsi="宋体" w:cs="Arial"/>
          <w:b/>
          <w:color w:val="auto"/>
          <w:sz w:val="24"/>
          <w:szCs w:val="24"/>
          <w:highlight w:val="none"/>
        </w:rPr>
      </w:pPr>
    </w:p>
    <w:p>
      <w:pPr>
        <w:widowControl/>
        <w:numPr>
          <w:ilvl w:val="0"/>
          <w:numId w:val="0"/>
        </w:numPr>
        <w:tabs>
          <w:tab w:val="left" w:pos="840"/>
        </w:tabs>
        <w:spacing w:line="360" w:lineRule="auto"/>
        <w:ind w:left="0" w:firstLine="482" w:firstLineChars="200"/>
        <w:jc w:val="left"/>
        <w:rPr>
          <w:rFonts w:hint="eastAsia" w:ascii="宋体" w:hAnsi="宋体" w:eastAsia="宋体" w:cs="Arial"/>
          <w:b/>
          <w:bCs w:val="0"/>
          <w:color w:val="auto"/>
          <w:sz w:val="24"/>
          <w:szCs w:val="24"/>
          <w:highlight w:val="none"/>
          <w:lang w:val="en-US" w:eastAsia="zh-CN"/>
        </w:rPr>
      </w:pPr>
      <w:r>
        <w:rPr>
          <w:rFonts w:hint="eastAsia" w:ascii="宋体" w:hAnsi="宋体" w:cs="Arial"/>
          <w:b/>
          <w:color w:val="auto"/>
          <w:sz w:val="24"/>
          <w:szCs w:val="24"/>
          <w:highlight w:val="none"/>
        </w:rPr>
        <w:t>（二）季度考核</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Arial"/>
          <w:color w:val="auto"/>
          <w:kern w:val="2"/>
          <w:sz w:val="24"/>
          <w:szCs w:val="24"/>
          <w:highlight w:val="none"/>
          <w:lang w:val="en-US" w:eastAsia="zh-CN" w:bidi="ar-SA"/>
        </w:rPr>
      </w:pPr>
      <w:r>
        <w:rPr>
          <w:rFonts w:hint="eastAsia" w:ascii="宋体" w:hAnsi="宋体" w:cs="Arial"/>
          <w:sz w:val="24"/>
          <w:szCs w:val="24"/>
        </w:rPr>
        <w:t>以季度为周期</w:t>
      </w:r>
      <w:r>
        <w:rPr>
          <w:rFonts w:hint="eastAsia" w:ascii="宋体" w:hAnsi="宋体" w:cs="Arial"/>
          <w:color w:val="auto"/>
          <w:sz w:val="24"/>
          <w:szCs w:val="24"/>
        </w:rPr>
        <w:t>，以季度为周期，由采购人</w:t>
      </w:r>
      <w:r>
        <w:rPr>
          <w:rFonts w:hint="eastAsia" w:ascii="宋体" w:hAnsi="宋体" w:cs="Arial"/>
          <w:color w:val="auto"/>
          <w:sz w:val="24"/>
          <w:szCs w:val="24"/>
          <w:lang w:eastAsia="zh-CN"/>
        </w:rPr>
        <w:t>、</w:t>
      </w:r>
      <w:r>
        <w:rPr>
          <w:rFonts w:hint="eastAsia" w:ascii="宋体" w:hAnsi="宋体" w:cs="Arial"/>
          <w:color w:val="auto"/>
          <w:sz w:val="24"/>
          <w:szCs w:val="24"/>
        </w:rPr>
        <w:t>上级领导</w:t>
      </w:r>
      <w:r>
        <w:rPr>
          <w:rFonts w:hint="eastAsia" w:ascii="宋体" w:hAnsi="宋体" w:cs="Arial"/>
          <w:color w:val="auto"/>
          <w:sz w:val="24"/>
          <w:szCs w:val="24"/>
          <w:lang w:val="en-US" w:eastAsia="zh-CN"/>
        </w:rPr>
        <w:t>或第三方</w:t>
      </w:r>
      <w:r>
        <w:rPr>
          <w:rFonts w:hint="eastAsia" w:ascii="宋体" w:hAnsi="宋体" w:cs="Arial"/>
          <w:color w:val="auto"/>
          <w:sz w:val="24"/>
          <w:szCs w:val="24"/>
        </w:rPr>
        <w:t>组成考核小组对中标人负责的项目进行考核，采购人有权根据季度考核得分结果，扣减当季周期服务费用。具体如下：</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Arial"/>
          <w:color w:val="auto"/>
          <w:kern w:val="2"/>
          <w:sz w:val="24"/>
          <w:szCs w:val="24"/>
          <w:highlight w:val="none"/>
          <w:lang w:val="en-US" w:eastAsia="zh-CN" w:bidi="ar-SA"/>
        </w:rPr>
      </w:pPr>
      <w:r>
        <w:rPr>
          <w:rFonts w:hint="eastAsia" w:ascii="宋体" w:hAnsi="宋体" w:cs="Arial"/>
          <w:color w:val="auto"/>
          <w:kern w:val="2"/>
          <w:sz w:val="24"/>
          <w:szCs w:val="24"/>
          <w:highlight w:val="none"/>
          <w:lang w:val="en-US" w:eastAsia="zh-CN" w:bidi="ar-SA"/>
        </w:rPr>
        <w:t>1、</w:t>
      </w:r>
      <w:r>
        <w:rPr>
          <w:rFonts w:hint="eastAsia" w:ascii="宋体" w:hAnsi="宋体" w:eastAsia="宋体" w:cs="Arial"/>
          <w:color w:val="auto"/>
          <w:kern w:val="2"/>
          <w:sz w:val="24"/>
          <w:szCs w:val="24"/>
          <w:highlight w:val="none"/>
          <w:lang w:val="en-US" w:eastAsia="zh-CN" w:bidi="ar-SA"/>
        </w:rPr>
        <w:t>考核得分90分以上的，不扣减当季度服务费用（0%）；</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Arial"/>
          <w:color w:val="auto"/>
          <w:kern w:val="2"/>
          <w:sz w:val="24"/>
          <w:szCs w:val="24"/>
          <w:highlight w:val="none"/>
          <w:lang w:val="en-US" w:eastAsia="zh-CN" w:bidi="ar-SA"/>
        </w:rPr>
      </w:pPr>
      <w:r>
        <w:rPr>
          <w:rFonts w:hint="eastAsia" w:ascii="宋体" w:hAnsi="宋体" w:cs="Arial"/>
          <w:color w:val="auto"/>
          <w:kern w:val="2"/>
          <w:sz w:val="24"/>
          <w:szCs w:val="24"/>
          <w:highlight w:val="none"/>
          <w:lang w:val="en-US" w:eastAsia="zh-CN" w:bidi="ar-SA"/>
        </w:rPr>
        <w:t>2、</w:t>
      </w:r>
      <w:r>
        <w:rPr>
          <w:rFonts w:hint="eastAsia" w:ascii="宋体" w:hAnsi="宋体" w:eastAsia="宋体" w:cs="Arial"/>
          <w:color w:val="auto"/>
          <w:kern w:val="2"/>
          <w:sz w:val="24"/>
          <w:szCs w:val="24"/>
          <w:highlight w:val="none"/>
          <w:lang w:val="en-US" w:eastAsia="zh-CN" w:bidi="ar-SA"/>
        </w:rPr>
        <w:t>考核得分80分至90分（不含90分）的，扣减当季度服务费用10%；</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Arial"/>
          <w:color w:val="auto"/>
          <w:kern w:val="2"/>
          <w:sz w:val="24"/>
          <w:szCs w:val="24"/>
          <w:highlight w:val="none"/>
          <w:lang w:val="en-US" w:eastAsia="zh-CN" w:bidi="ar-SA"/>
        </w:rPr>
      </w:pPr>
      <w:r>
        <w:rPr>
          <w:rFonts w:hint="eastAsia" w:ascii="宋体" w:hAnsi="宋体" w:cs="Arial"/>
          <w:color w:val="auto"/>
          <w:kern w:val="2"/>
          <w:sz w:val="24"/>
          <w:szCs w:val="24"/>
          <w:highlight w:val="none"/>
          <w:lang w:val="en-US" w:eastAsia="zh-CN" w:bidi="ar-SA"/>
        </w:rPr>
        <w:t>3、</w:t>
      </w:r>
      <w:r>
        <w:rPr>
          <w:rFonts w:hint="eastAsia" w:ascii="宋体" w:hAnsi="宋体" w:eastAsia="宋体" w:cs="Arial"/>
          <w:color w:val="auto"/>
          <w:kern w:val="2"/>
          <w:sz w:val="24"/>
          <w:szCs w:val="24"/>
          <w:highlight w:val="none"/>
          <w:lang w:val="en-US" w:eastAsia="zh-CN" w:bidi="ar-SA"/>
        </w:rPr>
        <w:t>考核得分70分至80分（不含80分）的，扣减当季度服务费用20%；</w:t>
      </w:r>
    </w:p>
    <w:p>
      <w:pPr>
        <w:keepNext w:val="0"/>
        <w:keepLines w:val="0"/>
        <w:pageBreakBefore w:val="0"/>
        <w:widowControl/>
        <w:numPr>
          <w:ilvl w:val="0"/>
          <w:numId w:val="0"/>
        </w:numPr>
        <w:tabs>
          <w:tab w:val="left" w:pos="84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Arial"/>
          <w:color w:val="auto"/>
          <w:kern w:val="2"/>
          <w:sz w:val="24"/>
          <w:szCs w:val="24"/>
          <w:highlight w:val="none"/>
          <w:lang w:val="en-US" w:eastAsia="zh-CN" w:bidi="ar-SA"/>
        </w:rPr>
      </w:pPr>
      <w:r>
        <w:rPr>
          <w:rFonts w:hint="eastAsia" w:ascii="宋体" w:hAnsi="宋体" w:eastAsia="宋体" w:cs="Arial"/>
          <w:color w:val="auto"/>
          <w:kern w:val="2"/>
          <w:sz w:val="24"/>
          <w:szCs w:val="24"/>
          <w:highlight w:val="none"/>
          <w:lang w:val="en-US" w:eastAsia="zh-CN" w:bidi="ar-SA"/>
        </w:rPr>
        <w:t>4、考核得分60分至70分（不含70分）的，扣减当季度服务费用50%；</w:t>
      </w:r>
    </w:p>
    <w:p>
      <w:pPr>
        <w:widowControl/>
        <w:numPr>
          <w:ilvl w:val="0"/>
          <w:numId w:val="0"/>
        </w:numPr>
        <w:tabs>
          <w:tab w:val="left" w:pos="840"/>
        </w:tabs>
        <w:spacing w:line="360" w:lineRule="auto"/>
        <w:ind w:firstLine="480" w:firstLineChars="200"/>
        <w:rPr>
          <w:rFonts w:hint="eastAsia" w:ascii="宋体" w:hAnsi="宋体" w:eastAsia="宋体" w:cs="Arial"/>
          <w:color w:val="auto"/>
          <w:kern w:val="2"/>
          <w:sz w:val="24"/>
          <w:szCs w:val="24"/>
          <w:highlight w:val="none"/>
          <w:lang w:val="en-US" w:eastAsia="zh-CN" w:bidi="ar-SA"/>
        </w:rPr>
      </w:pPr>
      <w:r>
        <w:rPr>
          <w:rFonts w:hint="eastAsia" w:ascii="宋体" w:hAnsi="宋体" w:eastAsia="宋体" w:cs="Arial"/>
          <w:color w:val="auto"/>
          <w:kern w:val="2"/>
          <w:sz w:val="24"/>
          <w:szCs w:val="24"/>
          <w:highlight w:val="none"/>
          <w:lang w:val="en-US" w:eastAsia="zh-CN" w:bidi="ar-SA"/>
        </w:rPr>
        <w:t>5、考核得分60分（不含60分）以下的，全额扣除当季度服务费用。</w:t>
      </w:r>
    </w:p>
    <w:p>
      <w:pPr>
        <w:pStyle w:val="8"/>
        <w:spacing w:line="360" w:lineRule="auto"/>
        <w:ind w:left="0" w:leftChars="0" w:firstLine="422" w:firstLineChars="200"/>
        <w:rPr>
          <w:rFonts w:hint="eastAsia" w:ascii="宋体" w:hAnsi="宋体"/>
          <w:b/>
          <w:bCs/>
          <w:color w:val="000000"/>
          <w:szCs w:val="21"/>
          <w:lang w:eastAsia="zh-CN"/>
        </w:rPr>
      </w:pPr>
      <w:r>
        <w:rPr>
          <w:rFonts w:hint="eastAsia" w:ascii="宋体" w:hAnsi="宋体" w:cs="Arial"/>
          <w:b/>
          <w:bCs/>
          <w:color w:val="auto"/>
          <w:szCs w:val="21"/>
          <w:highlight w:val="none"/>
          <w:lang w:val="en-US" w:eastAsia="zh-CN"/>
        </w:rPr>
        <w:t>附表：黄埔区中心城区2022至2025年河涌维护管理季度考核评分</w:t>
      </w:r>
    </w:p>
    <w:tbl>
      <w:tblPr>
        <w:tblStyle w:val="9"/>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26"/>
        <w:gridCol w:w="1415"/>
        <w:gridCol w:w="1614"/>
        <w:gridCol w:w="809"/>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河</w:t>
            </w:r>
            <w:r>
              <w:rPr>
                <w:rFonts w:hint="eastAsia" w:ascii="宋体" w:hAnsi="宋体" w:cs="宋体"/>
                <w:b/>
                <w:sz w:val="21"/>
                <w:szCs w:val="21"/>
                <w:lang w:val="en-US" w:eastAsia="zh-CN"/>
              </w:rPr>
              <w:t>涌</w:t>
            </w:r>
            <w:r>
              <w:rPr>
                <w:rFonts w:hint="eastAsia" w:ascii="宋体" w:hAnsi="宋体" w:cs="宋体"/>
                <w:b/>
                <w:sz w:val="21"/>
                <w:szCs w:val="21"/>
              </w:rPr>
              <w:t>名称</w:t>
            </w:r>
          </w:p>
        </w:tc>
        <w:tc>
          <w:tcPr>
            <w:tcW w:w="36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考核时间</w:t>
            </w:r>
          </w:p>
        </w:tc>
        <w:tc>
          <w:tcPr>
            <w:tcW w:w="315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考核人员</w:t>
            </w:r>
          </w:p>
        </w:tc>
        <w:tc>
          <w:tcPr>
            <w:tcW w:w="36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考核成绩</w:t>
            </w:r>
          </w:p>
        </w:tc>
        <w:tc>
          <w:tcPr>
            <w:tcW w:w="315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内 容</w:t>
            </w: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考核内容</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考核扣分标准</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考核扣分</w:t>
            </w: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实际得分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乔木</w:t>
            </w:r>
          </w:p>
          <w:p>
            <w:pPr>
              <w:spacing w:line="240" w:lineRule="auto"/>
              <w:jc w:val="center"/>
              <w:rPr>
                <w:rFonts w:hint="eastAsia" w:ascii="宋体" w:hAnsi="宋体" w:cs="宋体"/>
                <w:b/>
                <w:sz w:val="21"/>
                <w:szCs w:val="21"/>
              </w:rPr>
            </w:pPr>
            <w:r>
              <w:rPr>
                <w:rFonts w:hint="eastAsia" w:ascii="宋体" w:hAnsi="宋体" w:cs="宋体"/>
                <w:b/>
                <w:sz w:val="21"/>
                <w:szCs w:val="21"/>
              </w:rPr>
              <w:t>（20分）</w:t>
            </w: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树木死亡或缺株（自然灾害等意外死亡除外）。</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2分/棵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树穴土壤板结或有杂草的。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树木有折损枝、过密枝、枯枝、病虫枝，树身有萌蘖的，树木叶片枯黄（落叶树种生理落叶期除外）或者出现萎蔫现象。</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未经甲方同意对树木重度修剪而影响景观效果的。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树木倾斜、倒伏或树木护树桩凌乱残缺。</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树枝和灌木枝桠妨碍交通、遮挡交通标牌和交通灯。</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树木有绑扎物、钉挂钩、悬挂钩的。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乔木每年冬季没按要求涂白的。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0.5分/棵</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灌木绿篱（20分）</w:t>
            </w: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灌木（球型和片植）死亡或缺株。</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1分/平方米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灌木叶片枯黄（落叶树种生理落叶期除外）或者出现萎蔫现象。</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树穴土壤板结或有杂草的。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0.5分/丛</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灌木（球型和片植）倒伏，灌木有折损枝、过密枝、交叉枝、枯枝或造型灌木未修剪的。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片植灌木绿地内有枯枝败叶，垃圾杂物，杂草的。</w:t>
            </w:r>
          </w:p>
          <w:p>
            <w:pPr>
              <w:jc w:val="both"/>
              <w:rPr>
                <w:rFonts w:hint="eastAsia" w:ascii="宋体" w:hAnsi="宋体" w:cs="宋体"/>
                <w:sz w:val="21"/>
                <w:szCs w:val="21"/>
              </w:rPr>
            </w:pP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1分/平方米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水生植物长势不良，杂草丛生的。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kern w:val="0"/>
                <w:sz w:val="21"/>
                <w:szCs w:val="21"/>
              </w:rPr>
            </w:pPr>
            <w:r>
              <w:rPr>
                <w:rFonts w:hint="eastAsia" w:ascii="宋体" w:hAnsi="宋体" w:cs="宋体"/>
                <w:b/>
                <w:kern w:val="0"/>
                <w:sz w:val="21"/>
                <w:szCs w:val="21"/>
              </w:rPr>
              <w:t>草坪、水生植物</w:t>
            </w:r>
          </w:p>
          <w:p>
            <w:pPr>
              <w:spacing w:line="240" w:lineRule="auto"/>
              <w:jc w:val="center"/>
              <w:rPr>
                <w:rFonts w:hint="eastAsia" w:ascii="宋体" w:hAnsi="宋体" w:cs="宋体"/>
                <w:b/>
                <w:kern w:val="0"/>
                <w:sz w:val="21"/>
                <w:szCs w:val="21"/>
              </w:rPr>
            </w:pPr>
            <w:r>
              <w:rPr>
                <w:rFonts w:hint="eastAsia" w:ascii="宋体" w:hAnsi="宋体" w:cs="宋体"/>
                <w:b/>
                <w:kern w:val="0"/>
                <w:sz w:val="21"/>
                <w:szCs w:val="21"/>
              </w:rPr>
              <w:t>（30分）</w:t>
            </w: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240" w:lineRule="auto"/>
              <w:jc w:val="both"/>
              <w:rPr>
                <w:rFonts w:hint="eastAsia" w:ascii="宋体" w:hAnsi="宋体" w:cs="宋体"/>
                <w:sz w:val="21"/>
                <w:szCs w:val="21"/>
              </w:rPr>
            </w:pPr>
            <w:r>
              <w:rPr>
                <w:rFonts w:hint="eastAsia" w:ascii="宋体" w:hAnsi="宋体" w:cs="宋体"/>
                <w:sz w:val="21"/>
                <w:szCs w:val="21"/>
              </w:rPr>
              <w:t>叶色枯黄、长势不良或者出现萎蔫现象。</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240" w:lineRule="auto"/>
              <w:jc w:val="both"/>
              <w:rPr>
                <w:rFonts w:hint="eastAsia" w:ascii="宋体" w:hAnsi="宋体" w:cs="宋体"/>
                <w:sz w:val="21"/>
                <w:szCs w:val="21"/>
              </w:rPr>
            </w:pPr>
            <w:r>
              <w:rPr>
                <w:rFonts w:hint="eastAsia" w:ascii="宋体" w:hAnsi="宋体" w:cs="宋体"/>
                <w:sz w:val="21"/>
                <w:szCs w:val="21"/>
              </w:rPr>
              <w:t>草坪裸露（不可抗拒因素导致的除外）。</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1分/平方米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both"/>
              <w:rPr>
                <w:rFonts w:hint="eastAsia" w:ascii="宋体" w:hAnsi="宋体" w:cs="宋体"/>
                <w:sz w:val="21"/>
                <w:szCs w:val="21"/>
              </w:rPr>
            </w:pPr>
            <w:r>
              <w:rPr>
                <w:rFonts w:hint="eastAsia" w:ascii="宋体" w:hAnsi="宋体" w:cs="宋体"/>
                <w:sz w:val="21"/>
                <w:szCs w:val="21"/>
              </w:rPr>
              <w:t>草坪上有枯枝败叶、垃圾杂物、杂草的。</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草地平均高度超过10公分以上、澎蜞菊高度超过25厘米；草皮生长至人行道、步阶、汀步等。</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地被裸露、死亡或损坏须及时补种。</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sz w:val="21"/>
                <w:szCs w:val="21"/>
              </w:rPr>
              <w:t>水生植物</w:t>
            </w:r>
            <w:r>
              <w:rPr>
                <w:rFonts w:hint="eastAsia" w:ascii="宋体" w:hAnsi="宋体" w:cs="宋体"/>
                <w:kern w:val="0"/>
                <w:sz w:val="21"/>
                <w:szCs w:val="21"/>
              </w:rPr>
              <w:t>死亡或缺株</w:t>
            </w:r>
            <w:r>
              <w:rPr>
                <w:rFonts w:hint="eastAsia" w:ascii="宋体" w:hAnsi="宋体"/>
                <w:sz w:val="21"/>
                <w:szCs w:val="21"/>
              </w:rPr>
              <w:t>。</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1分/平方米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水生植物叶色枯黄、长势不良或者出现萎蔫现象。</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kern w:val="0"/>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sz w:val="21"/>
                <w:szCs w:val="21"/>
              </w:rPr>
              <w:t>水生植物未按要求进行修剪。</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0.5分/平方米</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sz w:val="21"/>
                <w:szCs w:val="21"/>
              </w:rPr>
            </w:pPr>
            <w:r>
              <w:rPr>
                <w:rFonts w:hint="eastAsia" w:ascii="宋体" w:hAnsi="宋体" w:cs="宋体"/>
                <w:b/>
                <w:sz w:val="21"/>
                <w:szCs w:val="21"/>
              </w:rPr>
              <w:t>清洁卫生（30分）</w:t>
            </w: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修剪下来的枝条树干残枝未清运。</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2分/宗</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修剪下来的枝条树干残枝、清扫的枯枝烂叶等垃圾禁止就地焚烧。</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2分/宗</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sz w:val="21"/>
                <w:szCs w:val="21"/>
              </w:rPr>
            </w:pPr>
          </w:p>
        </w:tc>
        <w:tc>
          <w:tcPr>
            <w:tcW w:w="50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both"/>
              <w:rPr>
                <w:rFonts w:hint="eastAsia" w:ascii="宋体" w:hAnsi="宋体" w:cs="宋体"/>
                <w:sz w:val="21"/>
                <w:szCs w:val="21"/>
              </w:rPr>
            </w:pPr>
            <w:r>
              <w:rPr>
                <w:rFonts w:hint="eastAsia" w:ascii="宋体" w:hAnsi="宋体" w:cs="宋体"/>
                <w:sz w:val="21"/>
                <w:szCs w:val="21"/>
              </w:rPr>
              <w:t>灌木绿篱、草坪、人行道、园建道路等有垃圾、</w:t>
            </w:r>
            <w:r>
              <w:rPr>
                <w:rFonts w:hint="eastAsia" w:ascii="宋体" w:hAnsi="宋体" w:cs="宋体"/>
                <w:b/>
                <w:sz w:val="21"/>
                <w:szCs w:val="21"/>
              </w:rPr>
              <w:t>积水</w:t>
            </w:r>
            <w:r>
              <w:rPr>
                <w:rFonts w:hint="eastAsia" w:ascii="宋体" w:hAnsi="宋体" w:cs="宋体"/>
                <w:sz w:val="21"/>
                <w:szCs w:val="21"/>
              </w:rPr>
              <w:t>、余泥、砖石、瓦渣等杂物。</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2分/宗</w:t>
            </w:r>
          </w:p>
        </w:tc>
        <w:tc>
          <w:tcPr>
            <w:tcW w:w="80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rPr>
      </w:pPr>
    </w:p>
    <w:p>
      <w:pPr>
        <w:widowControl/>
        <w:tabs>
          <w:tab w:val="left" w:pos="840"/>
        </w:tabs>
        <w:spacing w:line="360" w:lineRule="auto"/>
        <w:ind w:left="1" w:firstLine="420" w:firstLineChars="200"/>
        <w:rPr>
          <w:rFonts w:hint="eastAsia" w:ascii="宋体" w:hAnsi="宋体" w:cs="Arial"/>
          <w:color w:val="auto"/>
          <w:szCs w:val="21"/>
          <w:highlight w:val="none"/>
        </w:rPr>
      </w:pPr>
    </w:p>
    <w:p>
      <w:pPr>
        <w:widowControl/>
        <w:adjustRightInd w:val="0"/>
        <w:snapToGrid w:val="0"/>
        <w:spacing w:line="360" w:lineRule="auto"/>
        <w:ind w:left="0" w:firstLine="0" w:firstLineChars="0"/>
        <w:rPr>
          <w:rFonts w:ascii="宋体" w:hAnsi="宋体"/>
          <w:b/>
          <w:color w:val="auto"/>
          <w:sz w:val="24"/>
          <w:highlight w:val="none"/>
        </w:rPr>
      </w:pPr>
    </w:p>
    <w:p>
      <w:pPr>
        <w:spacing w:line="240" w:lineRule="auto"/>
        <w:jc w:val="left"/>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br w:type="page"/>
      </w:r>
    </w:p>
    <w:p>
      <w:pPr>
        <w:widowControl/>
        <w:adjustRightInd w:val="0"/>
        <w:snapToGrid w:val="0"/>
        <w:spacing w:line="360" w:lineRule="auto"/>
        <w:ind w:left="0" w:firstLine="0" w:firstLineChars="0"/>
        <w:rPr>
          <w:rFonts w:ascii="宋体" w:hAnsi="宋体"/>
          <w:b/>
          <w:color w:val="auto"/>
          <w:sz w:val="24"/>
          <w:highlight w:val="none"/>
        </w:rPr>
        <w:sectPr>
          <w:footerReference r:id="rId3" w:type="default"/>
          <w:pgSz w:w="11906" w:h="16838"/>
          <w:pgMar w:top="1417" w:right="1417" w:bottom="1417" w:left="1219" w:header="794" w:footer="794" w:gutter="0"/>
          <w:pgBorders>
            <w:top w:val="none" w:sz="0" w:space="0"/>
            <w:left w:val="none" w:sz="0" w:space="0"/>
            <w:bottom w:val="none" w:sz="0" w:space="0"/>
            <w:right w:val="none" w:sz="0" w:space="0"/>
          </w:pgBorders>
          <w:cols w:space="0" w:num="1"/>
          <w:rtlGutter w:val="0"/>
          <w:docGrid w:linePitch="285" w:charSpace="0"/>
        </w:sect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sz w:val="24"/>
          <w:szCs w:val="24"/>
        </w:rPr>
      </w:pPr>
      <w:r>
        <w:rPr>
          <w:rFonts w:hint="eastAsia" w:ascii="宋体" w:hAnsi="宋体" w:cs="宋体"/>
          <w:b/>
          <w:bCs/>
          <w:sz w:val="24"/>
          <w:szCs w:val="24"/>
        </w:rPr>
        <w:t>项目工程量（年度）</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rPr>
        <w:t>1、珠江涌</w:t>
      </w:r>
    </w:p>
    <w:tbl>
      <w:tblPr>
        <w:tblStyle w:val="9"/>
        <w:tblW w:w="92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9"/>
        <w:gridCol w:w="2340"/>
        <w:gridCol w:w="837"/>
        <w:gridCol w:w="1113"/>
        <w:gridCol w:w="1670"/>
        <w:gridCol w:w="2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本田排水渠至东苑西门桥段堤岸绿化</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7758.4</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东苑西门桥至黄埔东路西岸段堤岸绿化</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5282</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东苑小区西门桥至黄埔东路东岸段堤岸绿化</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12323</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黄埔东路至蟹山公司铁路桥段堤岸绿化</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珠江前航道段堤岸绿化</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本田排水渠至东苑西门桥段人行道保洁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4412.5</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东苑西门桥至黄埔东路西岸段人行道保洁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1344</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蟹山公园铁路桥至涌口段人行道保洁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178.2</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东苑小区西门桥至黄埔东路东岸段人行道保洁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2956</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黄埔东路至蟹山公司铁路桥两岸</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343.2</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珠江前航道段人行道保洁</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3"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2</w:t>
      </w:r>
      <w:r>
        <w:rPr>
          <w:rFonts w:hint="eastAsia" w:ascii="宋体" w:hAnsi="宋体" w:cs="宋体"/>
          <w:kern w:val="0"/>
          <w:sz w:val="24"/>
          <w:szCs w:val="24"/>
        </w:rPr>
        <w:t>、深涌</w:t>
      </w:r>
    </w:p>
    <w:tbl>
      <w:tblPr>
        <w:tblStyle w:val="9"/>
        <w:tblW w:w="92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2362"/>
        <w:gridCol w:w="800"/>
        <w:gridCol w:w="1098"/>
        <w:gridCol w:w="1670"/>
        <w:gridCol w:w="2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深涌北支涌（含深涌北支分涌）堤岸绿化</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9596</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深涌南支涌（含深涌南支分涌）堤岸绿化</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28030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深涌左支涌堤岸绿化</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15360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1号湿地公园堤岸绿化</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21000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深涌北支涌（含深涌北支分涌）人行道保洁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8042</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深涌南支涌（含深涌南支分涌）人行道保洁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10565</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深涌主涌人行道保洁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1900</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深涌左支涌人行道保洁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7274</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1号湿地公园人行道保洁</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1450</w:t>
            </w:r>
          </w:p>
        </w:tc>
        <w:tc>
          <w:tcPr>
            <w:tcW w:w="167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3</w:t>
      </w:r>
      <w:r>
        <w:rPr>
          <w:rFonts w:hint="eastAsia" w:ascii="宋体" w:hAnsi="宋体" w:cs="宋体"/>
          <w:kern w:val="0"/>
          <w:sz w:val="24"/>
          <w:szCs w:val="24"/>
        </w:rPr>
        <w:t>、本田排水渠</w:t>
      </w:r>
    </w:p>
    <w:tbl>
      <w:tblPr>
        <w:tblStyle w:val="9"/>
        <w:tblW w:w="92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2"/>
        <w:gridCol w:w="2390"/>
        <w:gridCol w:w="810"/>
        <w:gridCol w:w="1070"/>
        <w:gridCol w:w="1630"/>
        <w:gridCol w:w="2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全河段堤岸绿化</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11749.52</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全河段人行道保洁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1388</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4</w:t>
      </w:r>
      <w:r>
        <w:rPr>
          <w:rFonts w:hint="eastAsia" w:ascii="宋体" w:hAnsi="宋体" w:cs="宋体"/>
          <w:kern w:val="0"/>
          <w:sz w:val="24"/>
          <w:szCs w:val="24"/>
        </w:rPr>
        <w:t>、下沙涌</w:t>
      </w:r>
    </w:p>
    <w:tbl>
      <w:tblPr>
        <w:tblStyle w:val="9"/>
        <w:tblW w:w="93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3"/>
        <w:gridCol w:w="2380"/>
        <w:gridCol w:w="820"/>
        <w:gridCol w:w="1090"/>
        <w:gridCol w:w="1630"/>
        <w:gridCol w:w="27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20" w:type="dxa"/>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90" w:type="dxa"/>
            <w:tcBorders>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30" w:type="dxa"/>
            <w:tcBorders>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724" w:type="dxa"/>
            <w:tcBorders>
              <w:left w:val="single" w:color="000000" w:sz="4" w:space="0"/>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24" w:type="dxa"/>
            <w:tcBorders>
              <w:top w:val="single" w:color="000000" w:sz="4" w:space="0"/>
              <w:left w:val="single" w:color="000000" w:sz="4" w:space="0"/>
              <w:bottom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黄埔公园东门至乌涌段堤岸绿化</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1661.42</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24" w:type="dxa"/>
            <w:vMerge w:val="restart"/>
            <w:tcBorders>
              <w:top w:val="single" w:color="000000" w:sz="4" w:space="0"/>
              <w:left w:val="single" w:color="000000" w:sz="4" w:space="0"/>
              <w:bottom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生态浮岛水生植物养护</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24" w:type="dxa"/>
            <w:vMerge w:val="continue"/>
            <w:tcBorders>
              <w:top w:val="single" w:color="000000" w:sz="4" w:space="0"/>
              <w:left w:val="single" w:color="000000" w:sz="4" w:space="0"/>
              <w:bottom w:val="nil"/>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24" w:type="dxa"/>
            <w:tcBorders>
              <w:top w:val="single" w:color="000000" w:sz="4" w:space="0"/>
              <w:left w:val="single" w:color="000000" w:sz="4" w:space="0"/>
              <w:bottom w:val="single" w:color="auto"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黄埔公园东门至乌涌段人行道保洁</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216.45</w:t>
            </w:r>
          </w:p>
        </w:tc>
        <w:tc>
          <w:tcPr>
            <w:tcW w:w="1630"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24" w:type="dxa"/>
            <w:tcBorders>
              <w:top w:val="single" w:color="auto" w:sz="4" w:space="0"/>
              <w:left w:val="single" w:color="000000"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5</w:t>
      </w:r>
      <w:r>
        <w:rPr>
          <w:rFonts w:hint="eastAsia" w:ascii="宋体" w:hAnsi="宋体" w:cs="宋体"/>
          <w:kern w:val="0"/>
          <w:sz w:val="24"/>
          <w:szCs w:val="24"/>
        </w:rPr>
        <w:t>、三戽涌</w:t>
      </w:r>
    </w:p>
    <w:tbl>
      <w:tblPr>
        <w:tblStyle w:val="9"/>
        <w:tblW w:w="92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0"/>
        <w:gridCol w:w="2311"/>
        <w:gridCol w:w="804"/>
        <w:gridCol w:w="1155"/>
        <w:gridCol w:w="1620"/>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三戽涌堤岸绿化</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2260</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三戽涌人行道保洁</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4480</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6</w:t>
      </w:r>
      <w:r>
        <w:rPr>
          <w:rFonts w:hint="eastAsia" w:ascii="宋体" w:hAnsi="宋体" w:cs="宋体"/>
          <w:kern w:val="0"/>
          <w:sz w:val="24"/>
          <w:szCs w:val="24"/>
        </w:rPr>
        <w:t>、文涌</w:t>
      </w:r>
    </w:p>
    <w:tbl>
      <w:tblPr>
        <w:tblStyle w:val="9"/>
        <w:tblW w:w="92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2310"/>
        <w:gridCol w:w="790"/>
        <w:gridCol w:w="1130"/>
        <w:gridCol w:w="1650"/>
        <w:gridCol w:w="26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主涌段堤岸绿化</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106889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文涌改道堤岸绿化</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7280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文冲太婆山支涌堤岸绿化</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敬业路至石化桥底堤岸绿化</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7481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5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9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主涌段人行道保洁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37668</w:t>
            </w:r>
          </w:p>
        </w:tc>
        <w:tc>
          <w:tcPr>
            <w:tcW w:w="1650"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0" w:type="dxa"/>
            <w:vMerge w:val="restart"/>
            <w:tcBorders>
              <w:top w:val="single" w:color="auto" w:sz="4" w:space="0"/>
              <w:left w:val="single" w:color="000000"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文涌改道段人行道保洁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c>
          <w:tcPr>
            <w:tcW w:w="16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0" w:type="dxa"/>
            <w:vMerge w:val="continue"/>
            <w:tcBorders>
              <w:top w:val="single" w:color="000000" w:sz="4" w:space="0"/>
              <w:left w:val="single" w:color="000000" w:sz="4" w:space="0"/>
              <w:bottom w:val="nil"/>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太婆山支涌段人行道保洁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1112</w:t>
            </w:r>
          </w:p>
        </w:tc>
        <w:tc>
          <w:tcPr>
            <w:tcW w:w="16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0" w:type="dxa"/>
            <w:vMerge w:val="continue"/>
            <w:tcBorders>
              <w:top w:val="single" w:color="000000" w:sz="4" w:space="0"/>
              <w:left w:val="single" w:color="000000" w:sz="4" w:space="0"/>
              <w:bottom w:val="nil"/>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敬业路至石化桥底段人行道保洁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1581</w:t>
            </w:r>
          </w:p>
        </w:tc>
        <w:tc>
          <w:tcPr>
            <w:tcW w:w="1650"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0"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7</w:t>
      </w:r>
      <w:r>
        <w:rPr>
          <w:rFonts w:hint="eastAsia" w:ascii="宋体" w:hAnsi="宋体" w:cs="宋体"/>
          <w:kern w:val="0"/>
          <w:sz w:val="24"/>
          <w:szCs w:val="24"/>
        </w:rPr>
        <w:t>、文涌支涌</w:t>
      </w:r>
    </w:p>
    <w:tbl>
      <w:tblPr>
        <w:tblStyle w:val="9"/>
        <w:tblW w:w="91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6"/>
        <w:gridCol w:w="2328"/>
        <w:gridCol w:w="770"/>
        <w:gridCol w:w="1132"/>
        <w:gridCol w:w="1650"/>
        <w:gridCol w:w="2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全河段堤岸绿化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全河段人行道保洁</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5527.76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8</w:t>
      </w:r>
      <w:r>
        <w:rPr>
          <w:rFonts w:hint="eastAsia" w:ascii="宋体" w:hAnsi="宋体" w:cs="宋体"/>
          <w:kern w:val="0"/>
          <w:sz w:val="24"/>
          <w:szCs w:val="24"/>
        </w:rPr>
        <w:t>、双岗涌</w:t>
      </w:r>
    </w:p>
    <w:tbl>
      <w:tblPr>
        <w:tblStyle w:val="9"/>
        <w:tblW w:w="9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8"/>
        <w:gridCol w:w="2319"/>
        <w:gridCol w:w="780"/>
        <w:gridCol w:w="1111"/>
        <w:gridCol w:w="1670"/>
        <w:gridCol w:w="26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双岗涌堤岸绿化</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6032</w:t>
            </w:r>
          </w:p>
        </w:tc>
        <w:tc>
          <w:tcPr>
            <w:tcW w:w="16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9"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沙浦支涌段堤岸绿化</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9728</w:t>
            </w:r>
          </w:p>
        </w:tc>
        <w:tc>
          <w:tcPr>
            <w:tcW w:w="16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9" w:type="dxa"/>
            <w:vMerge w:val="continue"/>
            <w:tcBorders>
              <w:top w:val="single" w:color="000000" w:sz="4" w:space="0"/>
              <w:left w:val="single" w:color="auto" w:sz="4" w:space="0"/>
              <w:bottom w:val="nil"/>
              <w:right w:val="single" w:color="auto"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9"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双岗涌人行道保洁</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11320</w:t>
            </w:r>
          </w:p>
        </w:tc>
        <w:tc>
          <w:tcPr>
            <w:tcW w:w="16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9"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9</w:t>
      </w:r>
      <w:r>
        <w:rPr>
          <w:rFonts w:hint="eastAsia" w:ascii="宋体" w:hAnsi="宋体" w:cs="宋体"/>
          <w:kern w:val="0"/>
          <w:sz w:val="24"/>
          <w:szCs w:val="24"/>
        </w:rPr>
        <w:t>、庙头涌</w:t>
      </w:r>
    </w:p>
    <w:tbl>
      <w:tblPr>
        <w:tblStyle w:val="9"/>
        <w:tblW w:w="91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2380"/>
        <w:gridCol w:w="770"/>
        <w:gridCol w:w="1026"/>
        <w:gridCol w:w="1640"/>
        <w:gridCol w:w="2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黄埔东路上游段堤岸绿化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33982.12</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庙头涌人工</w:t>
            </w:r>
            <w:bookmarkStart w:id="14" w:name="_GoBack"/>
            <w:bookmarkEnd w:id="14"/>
            <w:r>
              <w:rPr>
                <w:rFonts w:hint="eastAsia" w:ascii="宋体" w:hAnsi="宋体" w:eastAsia="宋体" w:cs="宋体"/>
                <w:i w:val="0"/>
                <w:iCs w:val="0"/>
                <w:color w:val="000000"/>
                <w:kern w:val="0"/>
                <w:sz w:val="21"/>
                <w:szCs w:val="21"/>
                <w:u w:val="none"/>
                <w:lang w:val="en-US" w:eastAsia="zh-CN" w:bidi="ar"/>
              </w:rPr>
              <w:t>湖堤岸绿化（新增）</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3769</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庙头水闸段堤岸绿化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1362.15</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南海神庙段堤岸绿化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12550</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单价参考《广州市城市绿地常规养护工程年度费用估算指标（2019）》一级养护标准核定。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02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7"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黄埔东路上游段人行道保洁</w:t>
            </w:r>
          </w:p>
        </w:tc>
        <w:tc>
          <w:tcPr>
            <w:tcW w:w="7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15951.99</w:t>
            </w:r>
          </w:p>
        </w:tc>
        <w:tc>
          <w:tcPr>
            <w:tcW w:w="164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7" w:type="dxa"/>
            <w:vMerge w:val="restart"/>
            <w:tcBorders>
              <w:top w:val="single" w:color="auto" w:sz="4" w:space="0"/>
              <w:left w:val="single" w:color="000000"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3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庙头水闸段人行道保洁</w:t>
            </w:r>
          </w:p>
        </w:tc>
        <w:tc>
          <w:tcPr>
            <w:tcW w:w="7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26"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1263.89</w:t>
            </w:r>
          </w:p>
        </w:tc>
        <w:tc>
          <w:tcPr>
            <w:tcW w:w="16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7"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10</w:t>
      </w:r>
      <w:r>
        <w:rPr>
          <w:rFonts w:hint="eastAsia" w:ascii="宋体" w:hAnsi="宋体" w:cs="宋体"/>
          <w:kern w:val="0"/>
          <w:sz w:val="24"/>
          <w:szCs w:val="24"/>
        </w:rPr>
        <w:t>、南湾涌</w:t>
      </w:r>
    </w:p>
    <w:tbl>
      <w:tblPr>
        <w:tblStyle w:val="9"/>
        <w:tblW w:w="91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3"/>
        <w:gridCol w:w="2224"/>
        <w:gridCol w:w="770"/>
        <w:gridCol w:w="1156"/>
        <w:gridCol w:w="1660"/>
        <w:gridCol w:w="26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主涌段堤岸绿化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12418.87</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4"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单价参考《广州市城市绿地常规养护工程年度费用估算指标（2019）》一、二级养护标准核定。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2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夏园人工湖堤岸绿化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11737.45</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54"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2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夏园文体公园堤岸绿化</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1274.5</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54"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22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77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5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6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5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24"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主涌段人行道保洁</w:t>
            </w:r>
          </w:p>
        </w:tc>
        <w:tc>
          <w:tcPr>
            <w:tcW w:w="77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6494.76</w:t>
            </w:r>
          </w:p>
        </w:tc>
        <w:tc>
          <w:tcPr>
            <w:tcW w:w="1660"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4"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224" w:type="dxa"/>
            <w:tcBorders>
              <w:top w:val="single" w:color="auto"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夏园人工湖人行道保洁</w:t>
            </w:r>
          </w:p>
        </w:tc>
        <w:tc>
          <w:tcPr>
            <w:tcW w:w="77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9311.6</w:t>
            </w:r>
          </w:p>
        </w:tc>
        <w:tc>
          <w:tcPr>
            <w:tcW w:w="1660"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4" w:type="dxa"/>
            <w:vMerge w:val="continue"/>
            <w:tcBorders>
              <w:top w:val="single" w:color="auto" w:sz="4" w:space="0"/>
              <w:left w:val="single" w:color="000000" w:sz="4" w:space="0"/>
              <w:bottom w:val="nil"/>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2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夏园文体公园人行道保洁</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6"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3600.06</w:t>
            </w:r>
          </w:p>
        </w:tc>
        <w:tc>
          <w:tcPr>
            <w:tcW w:w="1660"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4"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、西滘河</w:t>
      </w:r>
    </w:p>
    <w:tbl>
      <w:tblPr>
        <w:tblStyle w:val="9"/>
        <w:tblW w:w="91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2160"/>
        <w:gridCol w:w="790"/>
        <w:gridCol w:w="1200"/>
        <w:gridCol w:w="1660"/>
        <w:gridCol w:w="2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西滘河人行道保洁</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1240</w:t>
            </w:r>
          </w:p>
        </w:tc>
        <w:tc>
          <w:tcPr>
            <w:tcW w:w="1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bCs/>
          <w:sz w:val="24"/>
          <w:szCs w:val="24"/>
        </w:rPr>
      </w:pPr>
      <w:r>
        <w:rPr>
          <w:rFonts w:hint="eastAsia" w:ascii="宋体" w:hAnsi="宋体" w:cs="宋体"/>
          <w:kern w:val="0"/>
          <w:sz w:val="24"/>
          <w:szCs w:val="24"/>
          <w:lang w:val="en-US" w:eastAsia="zh-CN"/>
        </w:rPr>
        <w:t>12</w:t>
      </w:r>
      <w:r>
        <w:rPr>
          <w:rFonts w:hint="eastAsia" w:ascii="宋体" w:hAnsi="宋体" w:cs="宋体"/>
          <w:kern w:val="0"/>
          <w:sz w:val="24"/>
          <w:szCs w:val="24"/>
        </w:rPr>
        <w:t>、米塔涌</w:t>
      </w:r>
    </w:p>
    <w:tbl>
      <w:tblPr>
        <w:tblStyle w:val="9"/>
        <w:tblW w:w="90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3"/>
        <w:gridCol w:w="2130"/>
        <w:gridCol w:w="810"/>
        <w:gridCol w:w="1250"/>
        <w:gridCol w:w="1630"/>
        <w:gridCol w:w="2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米塔涌堤岸绿化</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5969.8</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米塔涌人行道保洁</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13</w:t>
      </w:r>
      <w:r>
        <w:rPr>
          <w:rFonts w:hint="eastAsia" w:ascii="宋体" w:hAnsi="宋体" w:cs="宋体"/>
          <w:kern w:val="0"/>
          <w:sz w:val="24"/>
          <w:szCs w:val="24"/>
        </w:rPr>
        <w:t>、</w:t>
      </w:r>
      <w:r>
        <w:rPr>
          <w:rFonts w:hint="eastAsia"/>
          <w:sz w:val="24"/>
          <w:szCs w:val="24"/>
        </w:rPr>
        <w:t>沙步涌</w:t>
      </w:r>
    </w:p>
    <w:tbl>
      <w:tblPr>
        <w:tblStyle w:val="9"/>
        <w:tblW w:w="90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1"/>
        <w:gridCol w:w="2088"/>
        <w:gridCol w:w="840"/>
        <w:gridCol w:w="1240"/>
        <w:gridCol w:w="1642"/>
        <w:gridCol w:w="2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沙步涌（出口段）堤岸绿化</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3167.3</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33"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单价参考《广州市城市绿地常规养护工程年度费用估算指标（2019）》一 、二级养护标准核定。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小唐前街至沙步五横路堤岸绿化</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6244</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3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沙步涌（黄埔东路至沙步一横路）堤岸绿化</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3753.45</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3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鹿步大路至沙步友谊路堤岸绿化</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33"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沙涌、沙步涌新增项目堤岸绿化</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7300</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33" w:type="dxa"/>
            <w:tcBorders>
              <w:top w:val="nil"/>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沙步涌（出口段）人行道保洁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33" w:type="dxa"/>
            <w:vMerge w:val="restart"/>
            <w:tcBorders>
              <w:top w:val="single" w:color="000000" w:sz="4" w:space="0"/>
              <w:left w:val="single" w:color="000000"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小唐前街至沙步五横路人行道保洁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3055</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33" w:type="dxa"/>
            <w:vMerge w:val="continue"/>
            <w:tcBorders>
              <w:top w:val="single" w:color="000000" w:sz="4" w:space="0"/>
              <w:left w:val="single" w:color="000000" w:sz="4" w:space="0"/>
              <w:bottom w:val="nil"/>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沙步涌（黄埔东路至沙步一横路）人行道保洁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2758.06</w:t>
            </w:r>
          </w:p>
        </w:tc>
        <w:tc>
          <w:tcPr>
            <w:tcW w:w="164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33"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鹿步大路至沙步友谊路人行道保洁</w:t>
            </w:r>
          </w:p>
        </w:tc>
        <w:tc>
          <w:tcPr>
            <w:tcW w:w="84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599</w:t>
            </w:r>
          </w:p>
        </w:tc>
        <w:tc>
          <w:tcPr>
            <w:tcW w:w="164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33" w:type="dxa"/>
            <w:vMerge w:val="continue"/>
            <w:tcBorders>
              <w:top w:val="single" w:color="auto" w:sz="4" w:space="0"/>
              <w:left w:val="single" w:color="000000" w:sz="4" w:space="0"/>
              <w:bottom w:val="nil"/>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沙涌、沙步涌新增项目人行道保洁</w:t>
            </w:r>
          </w:p>
        </w:tc>
        <w:tc>
          <w:tcPr>
            <w:tcW w:w="84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40" w:type="dxa"/>
            <w:tcBorders>
              <w:top w:val="single" w:color="000000" w:sz="4" w:space="0"/>
              <w:left w:val="single" w:color="auto"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2629</w:t>
            </w:r>
          </w:p>
        </w:tc>
        <w:tc>
          <w:tcPr>
            <w:tcW w:w="164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33" w:type="dxa"/>
            <w:tcBorders>
              <w:top w:val="nil"/>
              <w:left w:val="nil"/>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14</w:t>
      </w:r>
      <w:r>
        <w:rPr>
          <w:rFonts w:hint="eastAsia" w:ascii="宋体" w:hAnsi="宋体" w:cs="宋体"/>
          <w:kern w:val="0"/>
          <w:sz w:val="24"/>
          <w:szCs w:val="24"/>
        </w:rPr>
        <w:t>、</w:t>
      </w:r>
      <w:r>
        <w:rPr>
          <w:rFonts w:hint="eastAsia"/>
          <w:sz w:val="24"/>
          <w:szCs w:val="24"/>
        </w:rPr>
        <w:t>沙涌</w:t>
      </w:r>
    </w:p>
    <w:tbl>
      <w:tblPr>
        <w:tblStyle w:val="9"/>
        <w:tblW w:w="91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2"/>
        <w:gridCol w:w="2061"/>
        <w:gridCol w:w="850"/>
        <w:gridCol w:w="1230"/>
        <w:gridCol w:w="1669"/>
        <w:gridCol w:w="2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沙涌堤岸绿化</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5509.34</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沙涌人行道保洁</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2714.08</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15</w:t>
      </w:r>
      <w:r>
        <w:rPr>
          <w:rFonts w:hint="eastAsia" w:ascii="宋体" w:hAnsi="宋体" w:cs="宋体"/>
          <w:kern w:val="0"/>
          <w:sz w:val="24"/>
          <w:szCs w:val="24"/>
        </w:rPr>
        <w:t>、</w:t>
      </w:r>
      <w:r>
        <w:rPr>
          <w:rFonts w:hint="eastAsia"/>
          <w:sz w:val="24"/>
          <w:szCs w:val="24"/>
        </w:rPr>
        <w:t>金紫涌</w:t>
      </w:r>
    </w:p>
    <w:tbl>
      <w:tblPr>
        <w:tblStyle w:val="9"/>
        <w:tblW w:w="91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2076"/>
        <w:gridCol w:w="860"/>
        <w:gridCol w:w="1220"/>
        <w:gridCol w:w="1618"/>
        <w:gridCol w:w="2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金紫涌堤岸绿化</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39725.84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民宅贯通连廊段堤岸绿化</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1094.34</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金紫涌人行道保洁</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14060</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民宅贯通连廊段人行道保洁</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501.55</w:t>
            </w:r>
          </w:p>
        </w:tc>
        <w:tc>
          <w:tcPr>
            <w:tcW w:w="1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16</w:t>
      </w:r>
      <w:r>
        <w:rPr>
          <w:rFonts w:hint="eastAsia" w:ascii="宋体" w:hAnsi="宋体" w:cs="宋体"/>
          <w:kern w:val="0"/>
          <w:sz w:val="24"/>
          <w:szCs w:val="24"/>
        </w:rPr>
        <w:t>、</w:t>
      </w:r>
      <w:r>
        <w:rPr>
          <w:rFonts w:hint="eastAsia"/>
          <w:sz w:val="24"/>
          <w:szCs w:val="24"/>
        </w:rPr>
        <w:t>宏岗河</w:t>
      </w:r>
    </w:p>
    <w:tbl>
      <w:tblPr>
        <w:tblStyle w:val="9"/>
        <w:tblW w:w="91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9"/>
        <w:gridCol w:w="2087"/>
        <w:gridCol w:w="870"/>
        <w:gridCol w:w="1220"/>
        <w:gridCol w:w="1590"/>
        <w:gridCol w:w="27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2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宏岗河堤岸绿化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16914</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市城市绿地常规养护工程年度费用估算指标（2019）》一级养护标准核定。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2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宏岗河人行道保洁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6828</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17</w:t>
      </w:r>
      <w:r>
        <w:rPr>
          <w:rFonts w:hint="eastAsia" w:ascii="宋体" w:hAnsi="宋体" w:cs="宋体"/>
          <w:kern w:val="0"/>
          <w:sz w:val="24"/>
          <w:szCs w:val="24"/>
        </w:rPr>
        <w:t>、</w:t>
      </w:r>
      <w:r>
        <w:rPr>
          <w:rFonts w:hint="eastAsia"/>
          <w:sz w:val="24"/>
          <w:szCs w:val="24"/>
        </w:rPr>
        <w:t>鹤子坦涌</w:t>
      </w:r>
    </w:p>
    <w:tbl>
      <w:tblPr>
        <w:tblStyle w:val="9"/>
        <w:tblW w:w="91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1998"/>
        <w:gridCol w:w="890"/>
        <w:gridCol w:w="1302"/>
        <w:gridCol w:w="1610"/>
        <w:gridCol w:w="26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鹤子坦堤岸绿化</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21745</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人行道保洁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鹤子坦人行道保洁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11500</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18</w:t>
      </w:r>
      <w:r>
        <w:rPr>
          <w:rFonts w:hint="eastAsia" w:ascii="宋体" w:hAnsi="宋体" w:cs="宋体"/>
          <w:kern w:val="0"/>
          <w:sz w:val="24"/>
          <w:szCs w:val="24"/>
        </w:rPr>
        <w:t>、</w:t>
      </w:r>
      <w:r>
        <w:rPr>
          <w:rFonts w:hint="eastAsia"/>
          <w:sz w:val="24"/>
          <w:szCs w:val="24"/>
        </w:rPr>
        <w:t>墩头涌</w:t>
      </w:r>
    </w:p>
    <w:tbl>
      <w:tblPr>
        <w:tblStyle w:val="9"/>
        <w:tblW w:w="92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1980"/>
        <w:gridCol w:w="880"/>
        <w:gridCol w:w="1313"/>
        <w:gridCol w:w="1630"/>
        <w:gridCol w:w="27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墩头涌堤岸绿化</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4437.5</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东晖广场段堤岸绿化</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48214.9</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2"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0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墩头涌人行道保洁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5057</w:t>
            </w:r>
          </w:p>
        </w:tc>
        <w:tc>
          <w:tcPr>
            <w:tcW w:w="1630"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2" w:type="dxa"/>
            <w:vMerge w:val="restart"/>
            <w:tcBorders>
              <w:top w:val="single" w:color="auto" w:sz="4" w:space="0"/>
              <w:left w:val="single" w:color="000000"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东晖广场段人行道保洁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8158.95</w:t>
            </w:r>
          </w:p>
        </w:tc>
        <w:tc>
          <w:tcPr>
            <w:tcW w:w="1630"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2"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19</w:t>
      </w:r>
      <w:r>
        <w:rPr>
          <w:rFonts w:hint="eastAsia" w:ascii="宋体" w:hAnsi="宋体" w:cs="宋体"/>
          <w:kern w:val="0"/>
          <w:sz w:val="24"/>
          <w:szCs w:val="24"/>
        </w:rPr>
        <w:t>、</w:t>
      </w:r>
      <w:r>
        <w:rPr>
          <w:rFonts w:hint="eastAsia"/>
          <w:sz w:val="24"/>
          <w:szCs w:val="24"/>
        </w:rPr>
        <w:t>东滘涌</w:t>
      </w:r>
    </w:p>
    <w:tbl>
      <w:tblPr>
        <w:tblStyle w:val="9"/>
        <w:tblW w:w="92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8"/>
        <w:gridCol w:w="1970"/>
        <w:gridCol w:w="890"/>
        <w:gridCol w:w="1315"/>
        <w:gridCol w:w="1610"/>
        <w:gridCol w:w="2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东滘涌堤岸绿化</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1809.97</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东滘涌人行道保洁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423.94</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20、</w:t>
      </w:r>
      <w:r>
        <w:rPr>
          <w:rFonts w:hint="eastAsia" w:ascii="宋体" w:hAnsi="宋体" w:cs="宋体"/>
          <w:kern w:val="0"/>
          <w:sz w:val="24"/>
          <w:szCs w:val="24"/>
        </w:rPr>
        <w:t>四清河</w:t>
      </w:r>
    </w:p>
    <w:tbl>
      <w:tblPr>
        <w:tblStyle w:val="9"/>
        <w:tblW w:w="91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8"/>
        <w:gridCol w:w="1980"/>
        <w:gridCol w:w="880"/>
        <w:gridCol w:w="1310"/>
        <w:gridCol w:w="1620"/>
        <w:gridCol w:w="27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四清河堤岸绿化</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136986</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四清河人行道保洁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21、</w:t>
      </w:r>
      <w:r>
        <w:rPr>
          <w:rFonts w:hint="eastAsia" w:ascii="宋体" w:hAnsi="宋体" w:cs="宋体"/>
          <w:kern w:val="0"/>
          <w:sz w:val="24"/>
          <w:szCs w:val="24"/>
        </w:rPr>
        <w:t>笔岗涌</w:t>
      </w:r>
    </w:p>
    <w:tbl>
      <w:tblPr>
        <w:tblStyle w:val="9"/>
        <w:tblW w:w="91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4"/>
        <w:gridCol w:w="1980"/>
        <w:gridCol w:w="890"/>
        <w:gridCol w:w="1292"/>
        <w:gridCol w:w="1629"/>
        <w:gridCol w:w="2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笔岗涌堤岸绿化</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11204</w:t>
            </w: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笔岗涌人行道保洁</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1300</w:t>
            </w: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22、</w:t>
      </w:r>
      <w:r>
        <w:rPr>
          <w:rFonts w:hint="eastAsia" w:ascii="宋体" w:hAnsi="宋体" w:cs="宋体"/>
          <w:kern w:val="0"/>
          <w:sz w:val="24"/>
          <w:szCs w:val="24"/>
        </w:rPr>
        <w:t>细陂河</w:t>
      </w:r>
    </w:p>
    <w:tbl>
      <w:tblPr>
        <w:tblStyle w:val="9"/>
        <w:tblW w:w="91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8"/>
        <w:gridCol w:w="1980"/>
        <w:gridCol w:w="919"/>
        <w:gridCol w:w="1251"/>
        <w:gridCol w:w="1590"/>
        <w:gridCol w:w="2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枝山村排洪渠堤岸绿化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4152.5</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宏仁企业段堤岸绿化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3136</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宏远路下游堤岸绿化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1575</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遂南路至宏仁企业段堤岸绿化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43122</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宏仁企业至下游段堤岸绿化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28507.93</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埔南路至广园快速路段堤岸绿化</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11415.4</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tcBorders>
              <w:top w:val="nil"/>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宏远路下游人行道保洁</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3400</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遂南路至宏仁企业段人行道保洁</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22777.92</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宏仁企业至下游段人行道保洁</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10860.22</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埔南路至广园快速路段人行道保洁</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4195.8</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23、</w:t>
      </w:r>
      <w:r>
        <w:rPr>
          <w:rFonts w:hint="eastAsia" w:ascii="宋体" w:hAnsi="宋体" w:cs="宋体"/>
          <w:kern w:val="0"/>
          <w:sz w:val="24"/>
          <w:szCs w:val="24"/>
        </w:rPr>
        <w:t>埔安河</w:t>
      </w:r>
    </w:p>
    <w:tbl>
      <w:tblPr>
        <w:tblStyle w:val="9"/>
        <w:tblW w:w="91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0"/>
        <w:gridCol w:w="1942"/>
        <w:gridCol w:w="930"/>
        <w:gridCol w:w="1251"/>
        <w:gridCol w:w="1592"/>
        <w:gridCol w:w="2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埔安河堤岸绿化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10417.82</w:t>
            </w: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9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1"/>
                <w:szCs w:val="21"/>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1"/>
                <w:szCs w:val="21"/>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埔安河人行道保洁</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4984.52</w:t>
            </w: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24、</w:t>
      </w:r>
      <w:r>
        <w:rPr>
          <w:rFonts w:hint="eastAsia" w:ascii="宋体" w:hAnsi="宋体" w:cs="宋体"/>
          <w:kern w:val="0"/>
          <w:sz w:val="24"/>
          <w:szCs w:val="24"/>
        </w:rPr>
        <w:t>天窿河</w:t>
      </w:r>
    </w:p>
    <w:tbl>
      <w:tblPr>
        <w:tblStyle w:val="9"/>
        <w:tblW w:w="91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7"/>
        <w:gridCol w:w="1871"/>
        <w:gridCol w:w="940"/>
        <w:gridCol w:w="1230"/>
        <w:gridCol w:w="1628"/>
        <w:gridCol w:w="2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天窿河堤岸绿化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151959</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天窿河人行道保洁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10810</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25、</w:t>
      </w:r>
      <w:r>
        <w:rPr>
          <w:rFonts w:hint="eastAsia" w:ascii="宋体" w:hAnsi="宋体" w:cs="宋体"/>
          <w:kern w:val="0"/>
          <w:sz w:val="24"/>
          <w:szCs w:val="24"/>
        </w:rPr>
        <w:t>水声涌</w:t>
      </w:r>
    </w:p>
    <w:tbl>
      <w:tblPr>
        <w:tblStyle w:val="9"/>
        <w:tblW w:w="91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0"/>
        <w:gridCol w:w="1848"/>
        <w:gridCol w:w="984"/>
        <w:gridCol w:w="1181"/>
        <w:gridCol w:w="1620"/>
        <w:gridCol w:w="2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水声涌堤岸绿化</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60018.4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市城市绿地常规养护工程年度费用估算指标（2019）》一级养护标准核定。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水声涌人行道保洁</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26、</w:t>
      </w:r>
      <w:r>
        <w:rPr>
          <w:rFonts w:hint="eastAsia" w:ascii="宋体" w:hAnsi="宋体" w:cs="宋体"/>
          <w:kern w:val="0"/>
          <w:sz w:val="24"/>
          <w:szCs w:val="24"/>
        </w:rPr>
        <w:t>沙田涌</w:t>
      </w:r>
    </w:p>
    <w:tbl>
      <w:tblPr>
        <w:tblStyle w:val="9"/>
        <w:tblW w:w="91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4"/>
        <w:gridCol w:w="1805"/>
        <w:gridCol w:w="960"/>
        <w:gridCol w:w="1190"/>
        <w:gridCol w:w="1640"/>
        <w:gridCol w:w="2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沙田涌堤岸绿化</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9960</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沙田涌人行道保洁</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27、</w:t>
      </w:r>
      <w:r>
        <w:rPr>
          <w:rFonts w:hint="eastAsia" w:ascii="宋体" w:hAnsi="宋体" w:cs="宋体"/>
          <w:kern w:val="0"/>
          <w:sz w:val="24"/>
          <w:szCs w:val="24"/>
        </w:rPr>
        <w:t>塘美涌</w:t>
      </w:r>
    </w:p>
    <w:tbl>
      <w:tblPr>
        <w:tblStyle w:val="9"/>
        <w:tblW w:w="91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8"/>
        <w:gridCol w:w="1816"/>
        <w:gridCol w:w="930"/>
        <w:gridCol w:w="1170"/>
        <w:gridCol w:w="1682"/>
        <w:gridCol w:w="2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塘尾涌堤岸绿化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3724.4</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塘尾涌人行道保洁</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675</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28、</w:t>
      </w:r>
      <w:r>
        <w:rPr>
          <w:rFonts w:hint="eastAsia" w:ascii="宋体" w:hAnsi="宋体" w:cs="宋体"/>
          <w:kern w:val="0"/>
          <w:sz w:val="24"/>
          <w:szCs w:val="24"/>
        </w:rPr>
        <w:t>永和河</w:t>
      </w:r>
    </w:p>
    <w:tbl>
      <w:tblPr>
        <w:tblStyle w:val="9"/>
        <w:tblW w:w="90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5"/>
        <w:gridCol w:w="1823"/>
        <w:gridCol w:w="950"/>
        <w:gridCol w:w="1170"/>
        <w:gridCol w:w="1630"/>
        <w:gridCol w:w="2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bidi="ar"/>
              </w:rPr>
              <w:t>工程量</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kern w:val="0"/>
                <w:sz w:val="21"/>
                <w:szCs w:val="21"/>
                <w:lang w:val="en-US" w:eastAsia="zh-CN" w:bidi="ar"/>
              </w:rPr>
              <w:t>综合单价限价（元）</w:t>
            </w:r>
          </w:p>
        </w:tc>
        <w:tc>
          <w:tcPr>
            <w:tcW w:w="2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绿化养护</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永和河堤岸绿化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140573.74</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永和河人行道保洁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14653.38</w:t>
            </w:r>
          </w:p>
        </w:tc>
        <w:tc>
          <w:tcPr>
            <w:tcW w:w="1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29、</w:t>
      </w:r>
      <w:r>
        <w:rPr>
          <w:rFonts w:hint="eastAsia" w:ascii="宋体" w:hAnsi="宋体" w:cs="宋体"/>
          <w:kern w:val="0"/>
          <w:sz w:val="24"/>
          <w:szCs w:val="24"/>
        </w:rPr>
        <w:t>乌涌</w:t>
      </w:r>
    </w:p>
    <w:tbl>
      <w:tblPr>
        <w:tblStyle w:val="9"/>
        <w:tblW w:w="90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3"/>
        <w:gridCol w:w="1782"/>
        <w:gridCol w:w="940"/>
        <w:gridCol w:w="1200"/>
        <w:gridCol w:w="1575"/>
        <w:gridCol w:w="26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水声下至联华路堤岸绿化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联华路至广汕路堤岸绿化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55400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8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广汕路至沈海高速堤岸绿化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210462.46</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沈海高速至科林路堤岸绿化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107475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科林路至大沙东路堤岸绿化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119543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大沙东路至乌涌水闸右岸堤岸绿化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17840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大沙东路至乌涌水闸左岸堤岸绿化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10020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85" w:type="dxa"/>
            <w:tcBorders>
              <w:top w:val="nil"/>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水声下至联华路人行道保洁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联华路至广汕路人行道保洁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广汕路至沈海高速人行道保洁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9886.84</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科林路至大沙东路人行道保洁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31472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大沙东路至乌涌水闸右岸人行道保洁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大沙东路至乌涌水闸左岸人行道保洁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0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7840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30、</w:t>
      </w:r>
      <w:r>
        <w:rPr>
          <w:rFonts w:hint="eastAsia" w:ascii="宋体" w:hAnsi="宋体" w:cs="宋体"/>
          <w:kern w:val="0"/>
          <w:sz w:val="24"/>
          <w:szCs w:val="24"/>
        </w:rPr>
        <w:t>乌涌左支</w:t>
      </w:r>
    </w:p>
    <w:tbl>
      <w:tblPr>
        <w:tblStyle w:val="9"/>
        <w:tblW w:w="9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729"/>
        <w:gridCol w:w="940"/>
        <w:gridCol w:w="1170"/>
        <w:gridCol w:w="1665"/>
        <w:gridCol w:w="2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开创大道至加庄北桥堤岸绿化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40244</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725"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加庄北桥至广园快速路堤岸绿化</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88824</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725" w:type="dxa"/>
            <w:vMerge w:val="continue"/>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66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72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开创大道至加庄北桥人行道保洁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4800</w:t>
            </w:r>
          </w:p>
        </w:tc>
        <w:tc>
          <w:tcPr>
            <w:tcW w:w="1665"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25" w:type="dxa"/>
            <w:vMerge w:val="restart"/>
            <w:tcBorders>
              <w:top w:val="single" w:color="auto" w:sz="4" w:space="0"/>
              <w:left w:val="single" w:color="000000"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加庄北桥至广园快速路人行道保洁</w:t>
            </w:r>
          </w:p>
        </w:tc>
        <w:tc>
          <w:tcPr>
            <w:tcW w:w="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7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16442.28</w:t>
            </w:r>
          </w:p>
        </w:tc>
        <w:tc>
          <w:tcPr>
            <w:tcW w:w="1665"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725"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left"/>
              <w:rPr>
                <w:rFonts w:hint="eastAsia" w:ascii="宋体" w:hAnsi="宋体" w:eastAsia="宋体" w:cs="宋体"/>
                <w:i w:val="0"/>
                <w:iCs w:val="0"/>
                <w:color w:val="000000"/>
                <w:sz w:val="21"/>
                <w:szCs w:val="21"/>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31、</w:t>
      </w:r>
      <w:r>
        <w:rPr>
          <w:rFonts w:hint="eastAsia" w:ascii="宋体" w:hAnsi="宋体" w:cs="宋体"/>
          <w:kern w:val="0"/>
          <w:sz w:val="24"/>
          <w:szCs w:val="24"/>
        </w:rPr>
        <w:t>南岗河</w:t>
      </w:r>
    </w:p>
    <w:tbl>
      <w:tblPr>
        <w:tblStyle w:val="9"/>
        <w:tblW w:w="91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9"/>
        <w:gridCol w:w="1794"/>
        <w:gridCol w:w="950"/>
        <w:gridCol w:w="1140"/>
        <w:gridCol w:w="1707"/>
        <w:gridCol w:w="2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bidi="ar"/>
              </w:rPr>
              <w:t>工程量</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cs="宋体"/>
                <w:b/>
                <w:bCs/>
                <w:kern w:val="0"/>
                <w:sz w:val="21"/>
                <w:szCs w:val="21"/>
                <w:lang w:val="en-US" w:eastAsia="zh-CN" w:bidi="ar"/>
              </w:rPr>
              <w:t>综合单价限价（元）</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绿化养护</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南岗河开创大道堤岸绿化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木强水库至北二环高速（开萝大道）堤岸绿化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258750.77</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北二环高速至开萝大道（元贝桥）堤岸绿化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26717</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文教园段堤岸绿化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123614.78</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17.83 </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单价参考《广州市城市绿地常规养护工程年度费用估算指标（2019）》一级养护标准核定。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开创大道至荔红二路堤岸绿化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72006</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单价参考《广州市城市绿地常规养护工程年度费用估算指标（2019）》二级养护标准核定。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伴河路（开泰大道段）堤岸绿化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28520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荔红二路至瑞祥路堤岸绿化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80500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瑞祥路至黄埔东路堤岸绿化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158784</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黄埔东路至河口堤岸绿化</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24240.34</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12.49 </w:t>
            </w:r>
          </w:p>
        </w:tc>
        <w:tc>
          <w:tcPr>
            <w:tcW w:w="2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环境保洁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val="0"/>
                <w:bCs w:val="0"/>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北二环高速至开萝大道（元贝桥）人行道保洁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文教园段人行道保洁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6610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continue"/>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伴河路（开泰大道段）人行道保洁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continue"/>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荔红二路至瑞祥路人行道保洁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continue"/>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瑞祥路至黄埔东路人行道保洁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10180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continue"/>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黄埔东路至河口人行道保洁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18224.13</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73" w:type="dxa"/>
            <w:vMerge w:val="continue"/>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化粪池粪便收集外运</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44.31 </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单价参考《广东省城乡环境卫生作业综合定额(2019)》核定；化粪池为G1-2SF，每座体积为2m³（按2t计），每半年清运一次。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公共卫生间保洁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座·天</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730</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417.96 </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单价参考《广东省城乡环境卫生作业综合定额(2019)》核定；公共卫生间2座保洁，每天专人清洁，按照广东省城乡环境卫生作业综合定额(2019)中一类专人管理核定。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公共卫生间7小件配备</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10169.00 </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厕所七小件，主要包括厕纸、洗手液、挂物钩、搁物架、侧位扶手、烘手机和面镜。挂物钩、搁物架、侧位扶手、烘手机和面镜一次性投入；厕纸、洗手液消耗量依据目前运行经验测算，洗手液每座厕所3天1瓶，厕纸每座厕所1天5卷，结合市场询价，七小件年消耗量10169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安保管理</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文教园区安保人员</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人·月</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4093.00 </w:t>
            </w:r>
          </w:p>
        </w:tc>
        <w:tc>
          <w:tcPr>
            <w:tcW w:w="2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bidi="ar"/>
              </w:rPr>
            </w:pPr>
            <w:r>
              <w:rPr>
                <w:rFonts w:hint="eastAsia" w:ascii="宋体" w:hAnsi="宋体" w:eastAsia="宋体" w:cs="宋体"/>
                <w:i w:val="0"/>
                <w:iCs w:val="0"/>
                <w:color w:val="000000"/>
                <w:kern w:val="0"/>
                <w:sz w:val="21"/>
                <w:szCs w:val="21"/>
                <w:u w:val="none"/>
                <w:lang w:val="en-US" w:eastAsia="zh-CN" w:bidi="ar"/>
              </w:rPr>
              <w:t>安保人员3人，实行24小时三班倒值班制；按《广州市保安协会关于严禁低价参与保安服务投标的通知标准的通知》粤府函【2018】187号文件规定计算。</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ascii="宋体" w:hAnsi="宋体" w:cs="宋体"/>
          <w:kern w:val="0"/>
          <w:sz w:val="24"/>
          <w:szCs w:val="24"/>
          <w:lang w:val="en-US" w:eastAsia="zh-CN"/>
        </w:rPr>
        <w:t>32、</w:t>
      </w:r>
      <w:r>
        <w:rPr>
          <w:rFonts w:hint="eastAsia" w:ascii="宋体" w:hAnsi="宋体" w:cs="宋体"/>
          <w:kern w:val="0"/>
          <w:sz w:val="24"/>
          <w:szCs w:val="24"/>
        </w:rPr>
        <w:t>小乌涌</w:t>
      </w:r>
    </w:p>
    <w:tbl>
      <w:tblPr>
        <w:tblStyle w:val="9"/>
        <w:tblW w:w="91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4"/>
        <w:gridCol w:w="1780"/>
        <w:gridCol w:w="970"/>
        <w:gridCol w:w="1150"/>
        <w:gridCol w:w="1712"/>
        <w:gridCol w:w="26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kern w:val="2"/>
                <w:sz w:val="21"/>
                <w:szCs w:val="21"/>
                <w:lang w:val="en-US" w:eastAsia="zh-CN" w:bidi="ar-SA"/>
              </w:rPr>
            </w:pPr>
            <w:r>
              <w:rPr>
                <w:rFonts w:hint="eastAsia" w:ascii="宋体" w:hAnsi="宋体" w:cs="宋体"/>
                <w:b/>
                <w:bCs/>
                <w:kern w:val="0"/>
                <w:sz w:val="21"/>
                <w:szCs w:val="21"/>
                <w:lang w:bidi="ar"/>
              </w:rPr>
              <w:t>工程量</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kern w:val="2"/>
                <w:sz w:val="21"/>
                <w:szCs w:val="21"/>
                <w:lang w:val="en-US" w:eastAsia="zh-CN" w:bidi="ar-SA"/>
              </w:rPr>
            </w:pPr>
            <w:r>
              <w:rPr>
                <w:rFonts w:hint="eastAsia" w:ascii="宋体" w:hAnsi="宋体" w:cs="宋体"/>
                <w:b/>
                <w:bCs/>
                <w:kern w:val="0"/>
                <w:sz w:val="21"/>
                <w:szCs w:val="21"/>
                <w:lang w:val="en-US" w:eastAsia="zh-CN" w:bidi="ar"/>
              </w:rPr>
              <w:t>综合单价限价（元）</w:t>
            </w:r>
          </w:p>
        </w:tc>
        <w:tc>
          <w:tcPr>
            <w:tcW w:w="2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1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环境保洁</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6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小乌涌人行道保洁</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3800</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5.60 </w:t>
            </w:r>
          </w:p>
        </w:tc>
        <w:tc>
          <w:tcPr>
            <w:tcW w:w="2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单价参考《黄埔区财政局关于2015年河涌堤岸绿化管养及人行道保洁工程预算单价的意见》核定。</w:t>
            </w:r>
          </w:p>
        </w:tc>
      </w:tr>
    </w:tbl>
    <w:p>
      <w:pPr>
        <w:widowControl/>
        <w:adjustRightInd w:val="0"/>
        <w:snapToGrid w:val="0"/>
        <w:spacing w:line="360" w:lineRule="auto"/>
        <w:ind w:left="482" w:hanging="482" w:hangingChars="200"/>
        <w:rPr>
          <w:rFonts w:hint="eastAsia" w:ascii="宋体" w:hAnsi="宋体" w:cs="Times New Roman"/>
          <w:b/>
          <w:bCs w:val="0"/>
          <w:color w:val="000000"/>
          <w:sz w:val="24"/>
          <w:highlight w:val="none"/>
          <w:lang w:val="en-US" w:eastAsia="zh-CN"/>
        </w:rPr>
      </w:pPr>
    </w:p>
    <w:p>
      <w:pPr>
        <w:widowControl/>
        <w:adjustRightInd w:val="0"/>
        <w:snapToGrid w:val="0"/>
        <w:spacing w:line="360" w:lineRule="auto"/>
        <w:ind w:left="482" w:hanging="482" w:hangingChars="200"/>
        <w:rPr>
          <w:rFonts w:hint="eastAsia" w:ascii="宋体" w:hAnsi="宋体" w:eastAsia="宋体" w:cs="Times New Roman"/>
          <w:b/>
          <w:bCs w:val="0"/>
          <w:color w:val="000000"/>
          <w:sz w:val="24"/>
          <w:highlight w:val="none"/>
          <w:lang w:val="en-US" w:eastAsia="zh-CN"/>
        </w:rPr>
      </w:pPr>
      <w:r>
        <w:rPr>
          <w:rFonts w:hint="eastAsia" w:ascii="宋体" w:hAnsi="宋体" w:cs="Times New Roman"/>
          <w:b/>
          <w:bCs w:val="0"/>
          <w:color w:val="000000"/>
          <w:sz w:val="24"/>
          <w:highlight w:val="none"/>
          <w:lang w:val="en-US" w:eastAsia="zh-CN"/>
        </w:rPr>
        <w:t>九</w:t>
      </w:r>
      <w:r>
        <w:rPr>
          <w:rFonts w:hint="eastAsia" w:ascii="宋体" w:hAnsi="宋体" w:eastAsia="宋体" w:cs="Times New Roman"/>
          <w:b/>
          <w:bCs w:val="0"/>
          <w:color w:val="000000"/>
          <w:sz w:val="24"/>
          <w:highlight w:val="none"/>
          <w:lang w:val="en-US" w:eastAsia="zh-CN"/>
        </w:rPr>
        <w:t>、报价要求</w:t>
      </w:r>
    </w:p>
    <w:p>
      <w:r>
        <w:rPr>
          <w:rFonts w:hint="eastAsia"/>
          <w:color w:val="000000"/>
          <w:highlight w:val="none"/>
          <w:lang w:val="en-US" w:eastAsia="zh-CN"/>
        </w:rPr>
        <w:t xml:space="preserve">    </w:t>
      </w:r>
      <w:r>
        <w:rPr>
          <w:rFonts w:hint="eastAsia"/>
          <w:b/>
          <w:bCs/>
          <w:color w:val="000000"/>
          <w:highlight w:val="none"/>
          <w:lang w:val="en-US" w:eastAsia="zh-CN"/>
        </w:rPr>
        <w:t>本项目采用投标总价的方式进行报价，投标人在报价明细表中报价时，不得超过采购人需求第九点项目工程量中的综合单价最高限价，若投标人报价超过采购预算或综合单价最高限价，则投标无效。</w:t>
      </w:r>
    </w:p>
    <w:p>
      <w:pPr>
        <w:pStyle w:val="2"/>
        <w:numPr>
          <w:ilvl w:val="-1"/>
          <w:numId w:val="0"/>
        </w:numPr>
        <w:tabs>
          <w:tab w:val="clear" w:pos="1152"/>
        </w:tabs>
        <w:ind w:left="0" w:firstLine="0"/>
      </w:pPr>
    </w:p>
    <w:sectPr>
      <w:pgSz w:w="11906" w:h="16838"/>
      <w:pgMar w:top="1417" w:right="1417" w:bottom="1417" w:left="1219" w:header="794" w:footer="794"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Fonts w:eastAsia="宋体"/>
      </w:rPr>
    </w:pPr>
    <w:r>
      <w:fldChar w:fldCharType="begin"/>
    </w:r>
    <w:r>
      <w:rPr>
        <w:rStyle w:val="11"/>
        <w:rFonts w:eastAsia="宋体"/>
      </w:rPr>
      <w:instrText xml:space="preserve">PAGE  </w:instrText>
    </w:r>
    <w:r>
      <w:fldChar w:fldCharType="separate"/>
    </w:r>
    <w:r>
      <w:rPr>
        <w:rStyle w:val="11"/>
        <w:rFonts w:eastAsia="宋体"/>
      </w:rPr>
      <w:t>50</w:t>
    </w:r>
    <w:r>
      <w:fldChar w:fldCharType="end"/>
    </w:r>
  </w:p>
  <w:p>
    <w:pPr>
      <w:pStyle w:val="6"/>
      <w:ind w:firstLine="1800" w:firstLineChars="1000"/>
      <w:jc w:val="right"/>
    </w:pPr>
    <w: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-172720</wp:posOffset>
              </wp:positionV>
              <wp:extent cx="635" cy="0"/>
              <wp:effectExtent l="0" t="0" r="0" b="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0pt;margin-top:-13.6pt;height:0pt;width:0.05pt;z-index:251659264;mso-width-relative:page;mso-height-relative:page;" filled="f" stroked="t" coordsize="21600,21600" o:allowincell="f" o:gfxdata="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F7xjNEA&#10;AAAFAQAADwAAAAAAAAABACAAAAAiAAAAZHJzL2Rvd25yZXYueG1sUEsBAhQAFAAAAAgAh07iQKgU&#10;kPLtAQAAwQMAAA4AAAAAAAAAAQAgAAAAIAEAAGRycy9lMm9Eb2MueG1sUEsFBgAAAAAGAAYAWQEA&#10;AH8FAAAAAA==&#10;">
              <v:fill on="f" focussize="0,0"/>
              <v:stroke color="#000000" joinstyle="round"/>
              <v:imagedata o:title=""/>
              <o:lock v:ext="edit" aspectratio="f"/>
            </v:line>
          </w:pict>
        </mc:Fallback>
      </mc:AlternateContent>
    </w:r>
    <w:r>
      <w:rPr>
        <w:rFonts w:hint="eastAsia"/>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8559E6"/>
    <w:multiLevelType w:val="singleLevel"/>
    <w:tmpl w:val="C08559E6"/>
    <w:lvl w:ilvl="0" w:tentative="0">
      <w:start w:val="8"/>
      <w:numFmt w:val="chineseCounting"/>
      <w:suff w:val="nothing"/>
      <w:lvlText w:val="%1、"/>
      <w:lvlJc w:val="left"/>
      <w:rPr>
        <w:rFonts w:hint="eastAsia"/>
      </w:rPr>
    </w:lvl>
  </w:abstractNum>
  <w:abstractNum w:abstractNumId="1">
    <w:nsid w:val="04C822EE"/>
    <w:multiLevelType w:val="multilevel"/>
    <w:tmpl w:val="04C822EE"/>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pStyle w:val="2"/>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4334"/>
    <w:rsid w:val="007C1A3B"/>
    <w:rsid w:val="04EC051E"/>
    <w:rsid w:val="080F4113"/>
    <w:rsid w:val="08DC4C5E"/>
    <w:rsid w:val="09093764"/>
    <w:rsid w:val="0A3934FC"/>
    <w:rsid w:val="0A617F95"/>
    <w:rsid w:val="0A99092D"/>
    <w:rsid w:val="0B09567A"/>
    <w:rsid w:val="0B960E1C"/>
    <w:rsid w:val="14172464"/>
    <w:rsid w:val="17442CCA"/>
    <w:rsid w:val="1928459E"/>
    <w:rsid w:val="1BAA40CB"/>
    <w:rsid w:val="1F1C6916"/>
    <w:rsid w:val="20D635D9"/>
    <w:rsid w:val="219B43F3"/>
    <w:rsid w:val="232120C7"/>
    <w:rsid w:val="28EA0EFB"/>
    <w:rsid w:val="29E6740C"/>
    <w:rsid w:val="2C072EAF"/>
    <w:rsid w:val="2ED36370"/>
    <w:rsid w:val="32CE4B4D"/>
    <w:rsid w:val="33147A32"/>
    <w:rsid w:val="336B569E"/>
    <w:rsid w:val="35940237"/>
    <w:rsid w:val="3A211D5B"/>
    <w:rsid w:val="3B470FEB"/>
    <w:rsid w:val="3BF7768D"/>
    <w:rsid w:val="3D4C5E8E"/>
    <w:rsid w:val="3F6E330C"/>
    <w:rsid w:val="40502F5F"/>
    <w:rsid w:val="417712F8"/>
    <w:rsid w:val="41B56EB2"/>
    <w:rsid w:val="44472951"/>
    <w:rsid w:val="450A1E65"/>
    <w:rsid w:val="456B7F76"/>
    <w:rsid w:val="47CA1DB1"/>
    <w:rsid w:val="493D0370"/>
    <w:rsid w:val="4B1E66F2"/>
    <w:rsid w:val="500A330C"/>
    <w:rsid w:val="50B333A9"/>
    <w:rsid w:val="50B83ABF"/>
    <w:rsid w:val="52DD5668"/>
    <w:rsid w:val="53C50A9A"/>
    <w:rsid w:val="55310940"/>
    <w:rsid w:val="55E5729C"/>
    <w:rsid w:val="59644A3A"/>
    <w:rsid w:val="5ABC1FA1"/>
    <w:rsid w:val="5AED4933"/>
    <w:rsid w:val="5C984BDA"/>
    <w:rsid w:val="5FA01858"/>
    <w:rsid w:val="657B1AE0"/>
    <w:rsid w:val="66F26622"/>
    <w:rsid w:val="69886371"/>
    <w:rsid w:val="6D115E8B"/>
    <w:rsid w:val="6EAE3F83"/>
    <w:rsid w:val="6ED973BD"/>
    <w:rsid w:val="7003538D"/>
    <w:rsid w:val="703A7F95"/>
    <w:rsid w:val="71CF7BDA"/>
    <w:rsid w:val="72A1574A"/>
    <w:rsid w:val="76EE0605"/>
    <w:rsid w:val="77DC6A55"/>
    <w:rsid w:val="7BBD6177"/>
    <w:rsid w:val="7CB51944"/>
    <w:rsid w:val="7D5E6B97"/>
    <w:rsid w:val="7E1A042F"/>
    <w:rsid w:val="7E1A3787"/>
    <w:rsid w:val="7F5E18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6"/>
    <w:basedOn w:val="1"/>
    <w:next w:val="1"/>
    <w:unhideWhenUsed/>
    <w:qFormat/>
    <w:uiPriority w:val="0"/>
    <w:pPr>
      <w:widowControl/>
      <w:numPr>
        <w:ilvl w:val="5"/>
        <w:numId w:val="1"/>
      </w:numPr>
      <w:tabs>
        <w:tab w:val="left" w:pos="709"/>
      </w:tabs>
      <w:spacing w:before="240" w:afterLines="50"/>
      <w:ind w:left="2304"/>
      <w:outlineLvl w:val="5"/>
    </w:pPr>
    <w:rPr>
      <w:rFonts w:hAnsi="Arial"/>
      <w:i/>
      <w:kern w:val="0"/>
      <w:sz w:val="2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next w:val="1"/>
    <w:qFormat/>
    <w:uiPriority w:val="0"/>
    <w:pPr>
      <w:pBdr>
        <w:top w:val="single" w:color="auto" w:sz="4" w:space="1"/>
      </w:pBdr>
      <w:tabs>
        <w:tab w:val="center" w:pos="4153"/>
        <w:tab w:val="right" w:pos="8306"/>
      </w:tabs>
      <w:snapToGrid w:val="0"/>
      <w:jc w:val="left"/>
    </w:pPr>
    <w:rPr>
      <w:kern w:val="0"/>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semiHidden/>
    <w:qFormat/>
    <w:uiPriority w:val="0"/>
    <w:pPr>
      <w:ind w:left="420" w:leftChars="200"/>
    </w:pPr>
  </w:style>
  <w:style w:type="character" w:styleId="11">
    <w:name w:val="page number"/>
    <w:qFormat/>
    <w:uiPriority w:val="0"/>
    <w:rPr>
      <w:rFonts w:ascii="宋体" w:hAnsi="宋体" w:eastAsia="Times New Roman"/>
      <w:spacing w:val="0"/>
      <w:kern w:val="18"/>
      <w:positio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2021-12-21T14:31:00Z</dcterms:created>
  <dc:creator>MSI</dc:creator>
  <cp:lastModifiedBy>翁侦华</cp:lastModifiedBy>
  <cp:lastPrinted>2022-02-28T08:19:00Z</cp:lastPrinted>
  <dcterms:modified xsi:type="dcterms:W3CDTF">2022-02-28T11:11:11Z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7ABB1C710B49425583BA4A2496B47EE1</vt:lpwstr>
  </property>
</Properties>
</file>